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945"/>
        <w:gridCol w:w="4605"/>
        <w:gridCol w:w="1155"/>
        <w:gridCol w:w="945"/>
        <w:gridCol w:w="915"/>
        <w:gridCol w:w="1185"/>
        <w:gridCol w:w="945"/>
        <w:gridCol w:w="960"/>
        <w:gridCol w:w="1170"/>
        <w:gridCol w:w="945"/>
        <w:gridCol w:w="945"/>
        <w:gridCol w:w="945"/>
        <w:gridCol w:w="945"/>
      </w:tblGrid>
      <w:tr>
        <w:tblPrEx/>
        <w:trPr>
          <w:trHeight w:val="322"/>
        </w:trPr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6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u w:val="none"/>
                <w:vertAlign w:val="baseline"/>
              </w:rPr>
              <w:t xml:space="preserve">СПРАВКА по работе с обращениями граждан в администрации Тайшетского района за II квартал 2026 года</w:t>
            </w:r>
            <w:r/>
            <w:r/>
          </w:p>
        </w:tc>
      </w:tr>
      <w:tr>
        <w:tblPrEx/>
        <w:trPr>
          <w:trHeight w:val="660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За II квартал 2026 года поступило в администрацию района 136 обращение, в том числе письменных  - 120, что составило 88,2 % от общего числа обратившихся; устных  - 16 обращений (11,8%).   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№ п/п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Основные группы обращений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письменные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ВСЕГО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письменные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ВСЕГО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%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0"/>
                <w:u w:val="none"/>
                <w:vertAlign w:val="baseline"/>
              </w:rPr>
              <w:t xml:space="preserve">соотношения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 2026г/2025г.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2026 г.</w:t>
            </w:r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 г.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1"/>
                <w:u w:val="none"/>
                <w:vertAlign w:val="baseline"/>
              </w:rPr>
              <w:t xml:space="preserve">Жилищно-коммунальное хозяйство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(разное)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водоотведение, нарезка кюветов и др.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предоставление жилья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ремонт жилья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-50,0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 теплу и воде; ТКО; электроэнергия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-25,0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вопросы по бродячим животным /содержание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Социально-правовая сфера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(разное)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85,7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материальная помощь, компенсация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поступление в образовательные орг-ии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льготы и субсидии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Вопросы по труду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(з/п, сокр., трудоустр.)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Вопросы здравоохранения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Вопросы транспорта и связи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-25,0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Торговля и предпринимательство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1"/>
                <w:u w:val="none"/>
                <w:vertAlign w:val="baseline"/>
              </w:rPr>
              <w:t xml:space="preserve">Дея-сть исп-распорядительных органов МС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66,6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Экология, защита лесов, водоемов, животных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Вопросы архитектуры и строительства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700,0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строительство объектов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ремонт объектов/благоустройство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1500,0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40"/>
        </w:trPr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ремонт/содержание дорог и мостов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77,7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переселение из ветхого и аварийного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Вопросы касательно СВО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-50,0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Земельные/имущественные вопросы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Другое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ИТОГО: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123,0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Посредством ПОС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95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"Инцидент-Менеджмент"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Обращения</w:t>
            </w:r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2026г.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2025г.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vMerge w:val="continue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письменные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всего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всего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vMerge w:val="continue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Коллективные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Повторные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Рассмотрено с выездом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600,0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Рассмотрено коллегиально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75,0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Посредством сайта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160,0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 всем обращениям: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письменные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Всего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письменные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устные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Всего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0"/>
                <w:u w:val="none"/>
                <w:vertAlign w:val="baseline"/>
              </w:rPr>
              <w:t xml:space="preserve"> соотношения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2026г/2025г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vMerge w:val="continue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2026г.</w:t>
            </w:r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2025г.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Даны ответы разъяснительного характера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139,4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Меры приняты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76,5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Отказано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Факт не подтвердился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ИТОГО: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98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144,0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80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 1 июля 2026г. - 22 письменных  и 2 устных обращений в стадии решения вопросов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0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Щербенева</cp:lastModifiedBy>
  <cp:revision>1</cp:revision>
  <dcterms:modified xsi:type="dcterms:W3CDTF">2026-07-01T08:04:40Z</dcterms:modified>
</cp:coreProperties>
</file>