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bottom w:val="single" w:color="000000" w:sz="24" w:space="0"/>
        </w:tblBorders>
        <w:tblLayout w:type="fixed"/>
        <w:tblLook w:val="04A0" w:firstRow="1" w:lastRow="0" w:firstColumn="1" w:lastColumn="0" w:noHBand="0" w:noVBand="1"/>
      </w:tblPr>
      <w:tblGrid>
        <w:gridCol w:w="9463"/>
      </w:tblGrid>
      <w:tr>
        <w:tblPrEx/>
        <w:trPr>
          <w:trHeight w:val="2552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24" w:space="0"/>
              <w:right w:val="none" w:color="000000" w:sz="4" w:space="0"/>
            </w:tcBorders>
            <w:tcW w:w="9463" w:type="dxa"/>
            <w:textDirection w:val="lrTb"/>
            <w:noWrap w:val="false"/>
          </w:tcPr>
          <w:p>
            <w:pPr>
              <w:jc w:val="center"/>
              <w:keepNext/>
              <w:spacing w:line="360" w:lineRule="auto"/>
              <w:rPr>
                <w:rFonts w:cs="Arial Unicode MS"/>
                <w:b/>
                <w:sz w:val="28"/>
                <w:szCs w:val="20"/>
              </w:rPr>
              <w:outlineLvl w:val="0"/>
            </w:pPr>
            <w:r/>
            <w:bookmarkStart w:id="0" w:name="undefined"/>
            <w:r/>
            <w:bookmarkEnd w:id="0"/>
            <w:r>
              <w:rPr>
                <w:rFonts w:cs="Arial Unicode MS"/>
                <w:b/>
                <w:sz w:val="28"/>
                <w:szCs w:val="20"/>
              </w:rPr>
              <w:t xml:space="preserve">Р о с </w:t>
            </w:r>
            <w:r>
              <w:rPr>
                <w:rFonts w:cs="Arial Unicode MS"/>
                <w:b/>
                <w:sz w:val="28"/>
                <w:szCs w:val="20"/>
              </w:rPr>
              <w:t xml:space="preserve">с</w:t>
            </w:r>
            <w:r>
              <w:rPr>
                <w:rFonts w:cs="Arial Unicode MS"/>
                <w:b/>
                <w:sz w:val="28"/>
                <w:szCs w:val="20"/>
              </w:rPr>
              <w:t xml:space="preserve"> и й с к а </w:t>
            </w:r>
            <w:r>
              <w:rPr>
                <w:rFonts w:cs="Arial Unicode MS"/>
                <w:b/>
                <w:sz w:val="28"/>
                <w:szCs w:val="20"/>
              </w:rPr>
              <w:t xml:space="preserve">я  Ф</w:t>
            </w:r>
            <w:r>
              <w:rPr>
                <w:rFonts w:cs="Arial Unicode MS"/>
                <w:b/>
                <w:sz w:val="28"/>
                <w:szCs w:val="20"/>
              </w:rPr>
              <w:t xml:space="preserve"> е д е р а ц и я</w:t>
            </w:r>
            <w:r>
              <w:rPr>
                <w:rFonts w:cs="Arial Unicode MS"/>
                <w:b/>
                <w:sz w:val="28"/>
                <w:szCs w:val="20"/>
              </w:rPr>
            </w:r>
            <w:r>
              <w:rPr>
                <w:rFonts w:cs="Arial Unicode MS"/>
                <w:b/>
                <w:sz w:val="28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4"/>
            </w:pPr>
            <w:r>
              <w:rPr>
                <w:b/>
                <w:sz w:val="32"/>
                <w:szCs w:val="20"/>
              </w:rPr>
              <w:t xml:space="preserve">Иркутская область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Тайшетский муниципальный округ Иркутской области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32"/>
                <w:szCs w:val="20"/>
              </w:rPr>
              <w:outlineLvl w:val="5"/>
            </w:pPr>
            <w:r>
              <w:rPr>
                <w:b/>
                <w:sz w:val="32"/>
                <w:szCs w:val="20"/>
              </w:rPr>
              <w:t xml:space="preserve">АДМИНИСТРАЦИЯ</w:t>
            </w:r>
            <w:r>
              <w:rPr>
                <w:b/>
                <w:sz w:val="32"/>
                <w:szCs w:val="20"/>
              </w:rPr>
              <w:t xml:space="preserve"> ТАЙШЕТСКОГО МУНИЦИПАЛЬНОГО ОКРУГА </w:t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rPr>
                <w:b/>
                <w:sz w:val="32"/>
                <w:szCs w:val="20"/>
              </w:rPr>
            </w:pP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  <w:r>
              <w:rPr>
                <w:b/>
                <w:sz w:val="32"/>
                <w:szCs w:val="20"/>
              </w:rPr>
            </w:r>
          </w:p>
          <w:p>
            <w:pPr>
              <w:jc w:val="center"/>
              <w:keepNext/>
              <w:rPr>
                <w:b/>
                <w:sz w:val="44"/>
                <w:szCs w:val="20"/>
              </w:rPr>
              <w:outlineLvl w:val="6"/>
            </w:pPr>
            <w:r>
              <w:rPr>
                <w:b/>
                <w:sz w:val="44"/>
                <w:szCs w:val="20"/>
              </w:rPr>
              <w:t xml:space="preserve">ПОСТАНОВЛЕНИЕ</w:t>
            </w:r>
            <w:r>
              <w:rPr>
                <w:b/>
                <w:sz w:val="44"/>
                <w:szCs w:val="20"/>
              </w:rPr>
            </w:r>
            <w:r>
              <w:rPr>
                <w:b/>
                <w:sz w:val="44"/>
                <w:szCs w:val="20"/>
              </w:rPr>
            </w:r>
          </w:p>
        </w:tc>
      </w:tr>
    </w:tbl>
    <w:p>
      <w:pPr>
        <w:ind w:right="-568"/>
        <w:rPr>
          <w:szCs w:val="20"/>
        </w:rPr>
      </w:pPr>
      <w:r>
        <w:rPr>
          <w:szCs w:val="20"/>
        </w:rPr>
      </w:r>
      <w:r>
        <w:rPr>
          <w:szCs w:val="20"/>
        </w:rPr>
      </w:r>
      <w:r>
        <w:rPr>
          <w:szCs w:val="20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</w:t>
      </w:r>
      <w:r>
        <w:rPr>
          <w:sz w:val="28"/>
          <w:szCs w:val="28"/>
        </w:rPr>
        <w:t xml:space="preserve">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_______</w:t>
      </w:r>
      <w:r>
        <w:rPr>
          <w:sz w:val="28"/>
          <w:szCs w:val="28"/>
        </w:rPr>
        <w:t xml:space="preserve">2026 года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  № _____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 w:val="off"/>
        <w:tabs>
          <w:tab w:val="left" w:pos="7155" w:leader="none"/>
          <w:tab w:val="right" w:pos="10205" w:leader="none"/>
        </w:tabs>
      </w:pPr>
      <w:r>
        <w:t xml:space="preserve">                                                                                                               </w:t>
      </w:r>
      <w:r/>
    </w:p>
    <w:p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-63322</wp:posOffset>
                </wp:positionH>
                <wp:positionV relativeFrom="paragraph">
                  <wp:posOffset>59690</wp:posOffset>
                </wp:positionV>
                <wp:extent cx="4273232" cy="999836"/>
                <wp:effectExtent l="6350" t="6350" r="6350" b="6350"/>
                <wp:wrapNone/>
                <wp:docPr id="1" name="_x0000_s1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4273231" cy="999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  <a:round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b w:val="0"/>
                                <w:bCs w:val="0"/>
                                <w:sz w:val="32"/>
                                <w:szCs w:val="32"/>
                                <w:lang w:eastAsia="ru-RU"/>
                              </w:rPr>
                            </w:pPr>
                            <w:r/>
                            <w:permStart w:displacedbyCustomXml="next" w:edGrp="everyone" w:id="undefined"/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А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дминистративного регламента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 xml:space="preserve">предоставления муниципальной услуги  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«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Получение </w:t>
                            </w:r>
                            <w:r>
                              <w:rPr>
                                <w:b w:val="0"/>
                                <w:bCs w:val="0"/>
                                <w:sz w:val="32"/>
                                <w:szCs w:val="32"/>
                                <w:lang w:eastAsia="ru-RU"/>
                              </w:rPr>
                            </w:r>
                            <w:r>
                              <w:rPr>
                                <w:b w:val="0"/>
                                <w:bCs w:val="0"/>
                                <w:sz w:val="32"/>
                                <w:szCs w:val="32"/>
                                <w:lang w:eastAsia="ru-RU"/>
                              </w:rPr>
                            </w:r>
                          </w:p>
                          <w:p>
                            <w:pPr>
                              <w:pStyle w:val="952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права на размещение нестационарных торговых объектов</w:t>
                            </w:r>
                            <w:r>
                              <w:rPr>
                                <w:b w:val="0"/>
                                <w:bCs w:val="0"/>
                                <w:sz w:val="28"/>
                                <w:szCs w:val="28"/>
                                <w:lang w:eastAsia="ru-RU"/>
                              </w:rPr>
                              <w:t xml:space="preserve">»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952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text;margin-left:-4.99pt;mso-position-horizontal:absolute;mso-position-vertical-relative:text;margin-top:4.70pt;mso-position-vertical:absolute;width:336.47pt;height:78.73pt;mso-wrap-distance-left:9.00pt;mso-wrap-distance-top:0.00pt;mso-wrap-distance-right:9.00pt;mso-wrap-distance-bottom:0.00pt;rotation:0;visibility:visible;" fillcolor="#FFFFFF" strokecolor="#FFFFFF">
                <v:textbox inset="0,0,0,0">
                  <w:txbxContent>
                    <w:p>
                      <w:pPr>
                        <w:jc w:val="left"/>
                        <w:rPr>
                          <w:b w:val="0"/>
                          <w:bCs w:val="0"/>
                          <w:sz w:val="32"/>
                          <w:szCs w:val="32"/>
                          <w:lang w:eastAsia="ru-RU"/>
                        </w:rPr>
                      </w:pPr>
                      <w:r/>
                      <w:permStart w:displacedbyCustomXml="next" w:edGrp="everyone" w:id="undefined"/>
                      <w:r>
                        <w:rPr>
                          <w:b w:val="0"/>
                          <w:bCs w:val="0"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А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дминистративного регламента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br/>
                        <w:t xml:space="preserve">предоставления муниципальной услуги  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«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Получение </w:t>
                      </w:r>
                      <w:r>
                        <w:rPr>
                          <w:b w:val="0"/>
                          <w:bCs w:val="0"/>
                          <w:sz w:val="32"/>
                          <w:szCs w:val="32"/>
                          <w:lang w:eastAsia="ru-RU"/>
                        </w:rPr>
                      </w:r>
                      <w:r>
                        <w:rPr>
                          <w:b w:val="0"/>
                          <w:bCs w:val="0"/>
                          <w:sz w:val="32"/>
                          <w:szCs w:val="32"/>
                          <w:lang w:eastAsia="ru-RU"/>
                        </w:rPr>
                      </w:r>
                    </w:p>
                    <w:p>
                      <w:pPr>
                        <w:pStyle w:val="952"/>
                        <w:jc w:val="both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права на размещение нестационарных торговых объектов</w:t>
                      </w:r>
                      <w:r>
                        <w:rPr>
                          <w:b w:val="0"/>
                          <w:bCs w:val="0"/>
                          <w:sz w:val="28"/>
                          <w:szCs w:val="28"/>
                          <w:lang w:eastAsia="ru-RU"/>
                        </w:rPr>
                        <w:t xml:space="preserve">»</w:t>
                      </w:r>
                      <w:r>
                        <w:rPr>
                          <w:sz w:val="32"/>
                          <w:szCs w:val="32"/>
                        </w:rPr>
                      </w:r>
                      <w:r>
                        <w:rPr>
                          <w:sz w:val="32"/>
                          <w:szCs w:val="32"/>
                        </w:rPr>
                      </w:r>
                    </w:p>
                    <w:p>
                      <w:pPr>
                        <w:pStyle w:val="952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-567" w:right="-284"/>
      </w:pPr>
      <w:r/>
      <w:r/>
    </w:p>
    <w:p>
      <w:r/>
      <w:r/>
    </w:p>
    <w:p>
      <w:r/>
      <w:r/>
    </w:p>
    <w:p>
      <w:r/>
      <w:r/>
    </w:p>
    <w:p>
      <w:pPr>
        <w:ind w:firstLine="54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540"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  <w:shd w:val="nil" w:color="000000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708"/>
        <w:jc w:val="both"/>
        <w:shd w:val="nil" w:color="000000"/>
        <w:rPr>
          <w:sz w:val="28"/>
          <w:szCs w:val="28"/>
          <w:highlight w:val="none"/>
          <w14:ligatures w14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  <w14:ligatures w14:val="none"/>
        </w:rPr>
      </w:r>
      <w:r>
        <w:rPr>
          <w:sz w:val="28"/>
          <w:szCs w:val="28"/>
          <w:highlight w:val="none"/>
          <w14:ligatures w14:val="none"/>
        </w:rPr>
      </w:r>
    </w:p>
    <w:p>
      <w:pPr>
        <w:ind w:firstLine="540"/>
        <w:jc w:val="both"/>
        <w:shd w:val="clear" w:color="auto" w:fill="auto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eastAsia="Times New Roman" w:cs="Times New Roman"/>
          <w:highlight w:val="white"/>
        </w:rPr>
      </w:r>
      <w:r>
        <w:rPr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целях повышения качества и доступности предоставления муниципальных услуг в Тайшетском муниципальном округе, в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 </w:t>
      </w:r>
      <w:r>
        <w:rPr>
          <w:sz w:val="28"/>
          <w:szCs w:val="28"/>
        </w:rPr>
        <w:t xml:space="preserve"> соответствии</w:t>
      </w:r>
      <w:r>
        <w:rPr>
          <w:sz w:val="28"/>
          <w:szCs w:val="28"/>
        </w:rPr>
        <w:t xml:space="preserve"> с </w:t>
      </w:r>
      <w:r>
        <w:rPr>
          <w:sz w:val="28"/>
          <w:szCs w:val="28"/>
        </w:rPr>
        <w:t xml:space="preserve">федеральными законами</w:t>
      </w:r>
      <w:r>
        <w:rPr>
          <w:sz w:val="28"/>
          <w:szCs w:val="28"/>
          <w:highlight w:val="none"/>
        </w:rPr>
        <w:t xml:space="preserve"> от 6 октябр</w:t>
      </w:r>
      <w:r>
        <w:rPr>
          <w:sz w:val="28"/>
          <w:szCs w:val="28"/>
          <w:highlight w:val="none"/>
        </w:rPr>
        <w:t xml:space="preserve">я 2003 года</w:t>
      </w:r>
      <w:r>
        <w:rPr>
          <w:sz w:val="28"/>
          <w:szCs w:val="28"/>
          <w:highlight w:val="none"/>
        </w:rPr>
        <w:t xml:space="preserve"> № 131-ФЗ «Об общих принципах организации местного самоупр</w:t>
      </w:r>
      <w:r>
        <w:rPr>
          <w:sz w:val="28"/>
          <w:szCs w:val="28"/>
          <w:highlight w:val="none"/>
        </w:rPr>
        <w:t xml:space="preserve">авления в Российской Федерации»</w:t>
      </w:r>
      <w:r>
        <w:rPr>
          <w:sz w:val="28"/>
          <w:szCs w:val="28"/>
          <w:highlight w:val="none"/>
        </w:rPr>
        <w:t xml:space="preserve">, </w:t>
      </w:r>
      <w:r>
        <w:rPr>
          <w:sz w:val="28"/>
          <w:szCs w:val="28"/>
          <w:highlight w:val="none"/>
        </w:rPr>
        <w:t xml:space="preserve">от 20 марта 2025 года № 33-ФЗ «Об общих принципах организации местного самоуправления в единой системе публичной власти»,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от 28 декабря 2009 года № 381-ФЗ «Об основах государственного регулирования торговой деяте</w:t>
      </w:r>
      <w:r>
        <w:rPr>
          <w:sz w:val="28"/>
          <w:szCs w:val="28"/>
          <w:highlight w:val="none"/>
        </w:rPr>
        <w:t xml:space="preserve">льности в Российской Федерации»</w:t>
      </w:r>
      <w:r>
        <w:rPr>
          <w:sz w:val="28"/>
          <w:szCs w:val="28"/>
          <w:highlight w:val="none"/>
        </w:rPr>
        <w:t xml:space="preserve">, от 27 июля 2010 года № 210-ФЗ «</w:t>
      </w:r>
      <w:r>
        <w:rPr>
          <w:rFonts w:ascii="Times New Roman" w:hAnsi="Times New Roman" w:eastAsia="Times New Roman" w:cs="Times New Roman"/>
          <w:sz w:val="28"/>
          <w:szCs w:val="28"/>
          <w:lang w:val="ru-RU" w:bidi="ru-RU"/>
        </w:rPr>
        <w:t xml:space="preserve">Об организации предоставления государственных и муниципальных услуг»</w:t>
      </w:r>
      <w:r>
        <w:rPr>
          <w:sz w:val="28"/>
          <w:szCs w:val="28"/>
        </w:rPr>
        <w:t xml:space="preserve">, постановлением Администрации Тайшетского муниципального округа от 27 марта 2026 года № 411 «</w:t>
      </w:r>
      <w:r>
        <w:rPr>
          <w:sz w:val="28"/>
          <w:szCs w:val="28"/>
        </w:rPr>
        <w:t xml:space="preserve">Об утверждении Порядка разработки </w:t>
      </w:r>
      <w:r>
        <w:rPr>
          <w:sz w:val="28"/>
          <w:szCs w:val="28"/>
        </w:rPr>
        <w:t xml:space="preserve">и утверждения административных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регламентов предоставления </w:t>
      </w:r>
      <w:r>
        <w:rPr>
          <w:sz w:val="28"/>
          <w:szCs w:val="28"/>
        </w:rPr>
        <w:t xml:space="preserve">муниципальных услуг Администрацией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Тайшетского муниципального округа», </w:t>
      </w:r>
      <w:r>
        <w:rPr>
          <w:sz w:val="28"/>
          <w:szCs w:val="28"/>
          <w:highlight w:val="none"/>
        </w:rPr>
        <w:t xml:space="preserve">руководствуясь  </w:t>
      </w:r>
      <w:r>
        <w:rPr>
          <w:sz w:val="28"/>
          <w:szCs w:val="28"/>
          <w:highlight w:val="none"/>
        </w:rPr>
        <w:t xml:space="preserve">статьями 15, </w:t>
      </w:r>
      <w:r>
        <w:rPr>
          <w:sz w:val="28"/>
          <w:szCs w:val="28"/>
          <w:highlight w:val="none"/>
        </w:rPr>
        <w:t xml:space="preserve">21, </w:t>
      </w:r>
      <w:r>
        <w:rPr>
          <w:sz w:val="28"/>
          <w:szCs w:val="28"/>
          <w:highlight w:val="none"/>
        </w:rPr>
        <w:t xml:space="preserve">36 Устава </w:t>
      </w:r>
      <w:r>
        <w:rPr>
          <w:sz w:val="28"/>
          <w:szCs w:val="28"/>
          <w:highlight w:val="none"/>
        </w:rPr>
        <w:t xml:space="preserve">Тайшетского муниципального округа Иркутской области</w:t>
      </w:r>
      <w:r>
        <w:rPr>
          <w:sz w:val="28"/>
          <w:szCs w:val="28"/>
          <w:highlight w:val="none"/>
        </w:rPr>
        <w:t xml:space="preserve">, Администрация Тайше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ского муниципального округа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jc w:val="both"/>
        <w:shd w:val="clear" w:color="auto" w:fill="auto"/>
        <w:rPr>
          <w:rFonts w:ascii="Times New Roman" w:hAnsi="Times New Roman" w:cs="Times New Roman"/>
          <w:b/>
          <w:bCs/>
          <w:sz w:val="32"/>
          <w:szCs w:val="32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whit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white"/>
        </w:rPr>
      </w:r>
    </w:p>
    <w:p>
      <w:pPr>
        <w:pStyle w:val="952"/>
        <w:jc w:val="both"/>
        <w:shd w:val="clear" w:color="auto" w:fill="auto"/>
        <w:rPr>
          <w:rFonts w:ascii="Times New Roman" w:hAnsi="Times New Roman" w:cs="Times New Roman"/>
          <w:b/>
          <w:bCs/>
          <w:sz w:val="32"/>
          <w:szCs w:val="32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ПОСТАНОВЛЯЕТ: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   </w:t>
      </w:r>
      <w:r>
        <w:rPr>
          <w:rFonts w:ascii="Times New Roman" w:hAnsi="Times New Roman" w:cs="Times New Roman"/>
          <w:b/>
          <w:bCs/>
          <w:sz w:val="32"/>
          <w:szCs w:val="32"/>
          <w:highlight w:val="whit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white"/>
        </w:rPr>
      </w:r>
    </w:p>
    <w:p>
      <w:pPr>
        <w:pStyle w:val="989"/>
        <w:ind w:firstLine="709"/>
        <w:jc w:val="both"/>
        <w:shd w:val="clear" w:color="auto" w:fill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8"/>
        <w:jc w:val="both"/>
        <w:shd w:val="clear" w:color="auto" w:fill="auto"/>
        <w:rPr>
          <w:rFonts w:ascii="Times New Roman" w:hAnsi="Times New Roman" w:cs="Times New Roman"/>
          <w:sz w:val="32"/>
          <w:szCs w:val="32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Утвердить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дминистративный регламент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предоставления муниципальной услуги «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Получение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права на размещение нестационарных торговых объектов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white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 w:val="0"/>
          <w:sz w:val="28"/>
          <w:szCs w:val="28"/>
          <w:highlight w:val="white"/>
        </w:rPr>
        <w:t xml:space="preserve"> согласно приложению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32"/>
          <w:szCs w:val="32"/>
          <w:highlight w:val="white"/>
        </w:rPr>
      </w:r>
      <w:r>
        <w:rPr>
          <w:rFonts w:ascii="Times New Roman" w:hAnsi="Times New Roman" w:cs="Times New Roman"/>
          <w:sz w:val="32"/>
          <w:szCs w:val="32"/>
          <w:highlight w:val="white"/>
        </w:rPr>
      </w:r>
    </w:p>
    <w:p>
      <w:pPr>
        <w:pStyle w:val="989"/>
        <w:ind w:firstLine="709"/>
        <w:jc w:val="both"/>
        <w:shd w:val="clear" w:color="auto" w:fill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End w:id="0"/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Заместителю Управляющего делами – начальнику организационного отдела Управления делами администрации Тайшетского муниципального округа Бурмакиной Н.Н.: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89"/>
        <w:ind w:firstLine="709"/>
        <w:jc w:val="both"/>
        <w:shd w:val="clear" w:color="auto" w:fill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публиковать 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 на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стоящее постано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ление в Бюллетене нормативных пра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вовых 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актов Тайшетского муниципального округа «Официальная среда»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89"/>
        <w:ind w:firstLine="709"/>
        <w:jc w:val="both"/>
        <w:shd w:val="clear" w:color="auto" w:fill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2"/>
          <w:highlight w:val="whit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разместить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стоящ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ее постано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ление на официальном сайте 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дминистрации Тайшетского муниципального округа и в сетевом издании «Портал правовой информации администрации Тайшетского района»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h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2"/>
          <w:highlight w:val="white"/>
        </w:rPr>
        <w:t xml:space="preserve">ttps:</w:t>
      </w:r>
      <w:r>
        <w:rPr>
          <w:rFonts w:ascii="Times New Roman" w:hAnsi="Times New Roman" w:eastAsia="Times New Roman" w:cs="Times New Roman"/>
          <w:sz w:val="28"/>
          <w:szCs w:val="22"/>
          <w:highlight w:val="white"/>
        </w:rPr>
        <w:t xml:space="preserve">//npa-tr.ru).</w:t>
      </w:r>
      <w:r>
        <w:rPr>
          <w:rFonts w:ascii="Times New Roman" w:hAnsi="Times New Roman" w:eastAsia="Times New Roman" w:cs="Times New Roman"/>
          <w:sz w:val="32"/>
          <w:szCs w:val="32"/>
          <w:highlight w:val="white"/>
        </w:rPr>
      </w:r>
      <w:permEnd w:displacedbyCustomXml="next" w:id=""/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Мэр </w:t>
      </w:r>
      <w:r>
        <w:rPr>
          <w:sz w:val="28"/>
          <w:szCs w:val="28"/>
          <w:highlight w:val="none"/>
        </w:rPr>
        <w:t xml:space="preserve">Тайшетского муниципального округа                                       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А.С. Кузин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0"/>
        <w:jc w:val="both"/>
        <w:rPr>
          <w:sz w:val="28"/>
          <w:szCs w:val="28"/>
          <w:highlight w:val="none"/>
        </w:rPr>
      </w:pPr>
      <w:r>
        <w:rPr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lef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Исп: Щёлокова Н.А.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990"/>
        <w:jc w:val="lef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  <w:t xml:space="preserve">тел.: 2-48-76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pStyle w:val="990"/>
        <w:jc w:val="right"/>
        <w:spacing w:before="0" w:beforeAutospacing="0" w:after="0" w:afterAutospacing="0"/>
        <w:tabs>
          <w:tab w:val="clear" w:pos="91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УТВЕРЖДЕН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постановлением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90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Тайшетского муниципального округа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52"/>
        <w:jc w:val="right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«_____»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________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г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ода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№ _____ 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7371"/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дминистративный регламент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br/>
        <w:t xml:space="preserve">предоставления муниципальной услуги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br/>
        <w:t xml:space="preserve">«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Получение права на размещение нестационарных торговых объектов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after="0" w:afterAutospacing="0" w:line="360" w:lineRule="auto"/>
        <w:rPr>
          <w:b/>
          <w:bCs/>
          <w:sz w:val="28"/>
          <w:szCs w:val="28"/>
          <w:highlight w:val="none"/>
        </w:rPr>
      </w:pPr>
      <w:r>
        <w:rPr>
          <w:rFonts w:eastAsia="Yu Gothic Light"/>
          <w:b/>
          <w:bCs/>
          <w:sz w:val="28"/>
          <w:szCs w:val="28"/>
          <w:highlight w:val="none"/>
        </w:rPr>
        <w:t xml:space="preserve">Раздел </w:t>
      </w:r>
      <w:r>
        <w:rPr>
          <w:rFonts w:eastAsia="Yu Gothic Light"/>
          <w:b/>
          <w:bCs/>
          <w:sz w:val="28"/>
          <w:szCs w:val="28"/>
          <w:highlight w:val="none"/>
          <w:lang w:val="en-US"/>
        </w:rPr>
        <w:t xml:space="preserve">I</w:t>
      </w:r>
      <w:r>
        <w:rPr>
          <w:rFonts w:eastAsia="Yu Gothic Light"/>
          <w:b/>
          <w:bCs/>
          <w:sz w:val="28"/>
          <w:szCs w:val="28"/>
          <w:highlight w:val="none"/>
        </w:rPr>
        <w:t xml:space="preserve">.</w:t>
      </w:r>
      <w:r>
        <w:rPr>
          <w:rFonts w:eastAsia="Yu Gothic Light"/>
          <w:bCs/>
          <w:sz w:val="28"/>
          <w:szCs w:val="28"/>
          <w:highlight w:val="none"/>
        </w:rPr>
        <w:t xml:space="preserve"> </w:t>
      </w:r>
      <w:r>
        <w:rPr>
          <w:rFonts w:eastAsia="Yu Gothic Light"/>
          <w:b/>
          <w:bCs/>
          <w:sz w:val="28"/>
          <w:szCs w:val="28"/>
          <w:highlight w:val="none"/>
        </w:rPr>
        <w:t xml:space="preserve">О</w:t>
      </w:r>
      <w:r>
        <w:rPr>
          <w:rFonts w:eastAsia="Yu Gothic Light"/>
          <w:b/>
          <w:bCs/>
          <w:sz w:val="28"/>
          <w:szCs w:val="28"/>
          <w:highlight w:val="none"/>
        </w:rPr>
        <w:t xml:space="preserve">бщие положения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after="0" w:afterAutospacing="0" w:line="360" w:lineRule="auto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  <w:t xml:space="preserve">Г</w:t>
      </w:r>
      <w:r>
        <w:rPr>
          <w:b/>
          <w:bCs/>
          <w:sz w:val="28"/>
          <w:szCs w:val="28"/>
          <w:highlight w:val="none"/>
        </w:rPr>
        <w:t xml:space="preserve">лава </w:t>
      </w:r>
      <w:r>
        <w:rPr>
          <w:b/>
          <w:bCs/>
          <w:sz w:val="28"/>
          <w:szCs w:val="28"/>
          <w:highlight w:val="none"/>
        </w:rPr>
        <w:t xml:space="preserve">1</w:t>
      </w:r>
      <w:r>
        <w:rPr>
          <w:b/>
          <w:bCs/>
          <w:sz w:val="28"/>
          <w:szCs w:val="28"/>
          <w:highlight w:val="none"/>
        </w:rPr>
        <w:t xml:space="preserve">. </w:t>
      </w:r>
      <w:r>
        <w:rPr>
          <w:b/>
          <w:bCs/>
          <w:sz w:val="28"/>
          <w:szCs w:val="28"/>
          <w:highlight w:val="none"/>
        </w:rPr>
        <w:t xml:space="preserve">П</w:t>
      </w:r>
      <w:r>
        <w:rPr>
          <w:b/>
          <w:bCs/>
          <w:sz w:val="28"/>
          <w:szCs w:val="28"/>
          <w:highlight w:val="none"/>
        </w:rPr>
        <w:t xml:space="preserve">редмет регулирования Административного регламента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  <w:t xml:space="preserve">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numPr>
          <w:ilvl w:val="0"/>
          <w:numId w:val="3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  <w:u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Настоящий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Административный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регламент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определяет сроки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 устанавливает порядок, последовательность действий и стандарт предоставления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муниципальной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услуги «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Получение права на размещение нестационарных торговых объектов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(далее – Административный регламент)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 территории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Тайшетского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 муниципального округа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sz w:val="28"/>
          <w:szCs w:val="28"/>
          <w:highlight w:val="none"/>
          <w:u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Муниципальная услуга (далее – Муниципальная услуга, Услуга) включает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подуслуги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получение требований к нестационарным торговым объектам (далее – НТО)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предложение предусмотреть новое место под НТО,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ведение схемы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заключение договоров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право размещения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НТО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внесение изменений в договор на право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оформление подписки на получение уведомлений о размещении (изменении) схемы НТО, о старте торгов на право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отмена подписки на получение уведомлений о размещении (изменении) схемы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о старте торгов на право размещения НТО.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дминистративный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регламент разработан в целях упорядочения админ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ых процедур и 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Иркутской области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муниципальным правовым актам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Г</w:t>
      </w:r>
      <w:r>
        <w:rPr>
          <w:b/>
          <w:sz w:val="28"/>
          <w:szCs w:val="28"/>
          <w:highlight w:val="none"/>
        </w:rPr>
        <w:t xml:space="preserve">лава 2. </w:t>
      </w:r>
      <w:r>
        <w:rPr>
          <w:b/>
          <w:sz w:val="28"/>
          <w:szCs w:val="28"/>
          <w:highlight w:val="none"/>
        </w:rPr>
        <w:t xml:space="preserve">К</w:t>
      </w:r>
      <w:r>
        <w:rPr>
          <w:b/>
          <w:sz w:val="28"/>
          <w:szCs w:val="28"/>
          <w:highlight w:val="none"/>
        </w:rPr>
        <w:t xml:space="preserve">руг заявителей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Услуга предоставляется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физическим лицам, индивидуальным предпринимателям 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юридическим лицам, зарегистрированным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порядке, установленном законодательством Российской Федерации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(далее -заявитель).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numPr>
          <w:ilvl w:val="0"/>
          <w:numId w:val="3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Услуга должна быть предоставлена заявителю в соответс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твии с вариантом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слуги (далее – вариант)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Признаки заявителя определяются путем профилирования, осуществляемого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соответствии с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настоящим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Административным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регламентом.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Глава 3. Требования к порядку информирования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Информация о порядке предоставления Услуги предоставляется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</w:t>
      </w:r>
      <w:r>
        <w:rPr>
          <w:sz w:val="28"/>
          <w:szCs w:val="28"/>
          <w:highlight w:val="none"/>
        </w:rPr>
        <w:t xml:space="preserve">-</w:t>
      </w:r>
      <w:r>
        <w:rPr>
          <w:sz w:val="28"/>
          <w:szCs w:val="28"/>
          <w:highlight w:val="none"/>
        </w:rPr>
        <w:t xml:space="preserve"> Единый портал);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3"/>
        <w:ind w:left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на официальном сайте</w:t>
      </w:r>
      <w:r>
        <w:rPr>
          <w:sz w:val="28"/>
          <w:szCs w:val="28"/>
          <w:highlight w:val="none"/>
        </w:rPr>
        <w:t xml:space="preserve"> 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3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непосредственно при личном приеме заявителя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</w:t>
      </w:r>
      <w:r>
        <w:rPr>
          <w:sz w:val="28"/>
          <w:szCs w:val="28"/>
          <w:highlight w:val="none"/>
        </w:rPr>
        <w:t xml:space="preserve">подуслуг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3"/>
        <w:ind w:left="0" w:right="0" w:firstLine="709"/>
        <w:jc w:val="both"/>
        <w:spacing w:after="0" w:afterAutospacing="0"/>
        <w:rPr>
          <w:b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 телефону</w:t>
      </w:r>
      <w:r>
        <w:rPr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 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</w:t>
      </w:r>
      <w:r>
        <w:rPr>
          <w:sz w:val="28"/>
          <w:szCs w:val="28"/>
          <w:highlight w:val="none"/>
        </w:rPr>
        <w:t xml:space="preserve">подуслугу</w:t>
      </w:r>
      <w:r>
        <w:rPr>
          <w:sz w:val="28"/>
          <w:szCs w:val="28"/>
          <w:highlight w:val="none"/>
        </w:rPr>
        <w:t xml:space="preserve">;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pStyle w:val="983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письменно, в том числе посредством электронной почты;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3"/>
        <w:ind w:left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посредством размещения в открыт</w:t>
      </w:r>
      <w:r>
        <w:rPr>
          <w:sz w:val="28"/>
          <w:szCs w:val="28"/>
          <w:highlight w:val="none"/>
        </w:rPr>
        <w:t xml:space="preserve">ой и доступной форме информации: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3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посредством размещения информации на информационных стендах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</w:t>
      </w:r>
      <w:r>
        <w:rPr>
          <w:sz w:val="28"/>
          <w:szCs w:val="28"/>
          <w:highlight w:val="none"/>
        </w:rPr>
        <w:t xml:space="preserve">подуслуг</w:t>
      </w:r>
      <w:r>
        <w:rPr>
          <w:sz w:val="28"/>
          <w:szCs w:val="28"/>
          <w:highlight w:val="none"/>
        </w:rPr>
        <w:t xml:space="preserve">у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Информирование о порядке предоставления Услуги осуществляется бесплатно.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3"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Информация о ходе рассмотрения заявления о предоставлении может быть получена заявителем в «Личном кабинете» на Едином портале, а также в </w:t>
      </w:r>
      <w:r>
        <w:rPr>
          <w:sz w:val="28"/>
          <w:szCs w:val="28"/>
          <w:highlight w:val="none"/>
        </w:rPr>
        <w:t xml:space="preserve">уполномоченном органе </w:t>
      </w:r>
      <w:r>
        <w:rPr>
          <w:sz w:val="28"/>
          <w:szCs w:val="28"/>
          <w:highlight w:val="none"/>
        </w:rPr>
        <w:t xml:space="preserve">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, предоставляющем </w:t>
      </w:r>
      <w:r>
        <w:rPr>
          <w:sz w:val="28"/>
          <w:szCs w:val="28"/>
          <w:highlight w:val="none"/>
        </w:rPr>
        <w:t xml:space="preserve">подуслугу, </w:t>
      </w:r>
      <w:r>
        <w:rPr>
          <w:sz w:val="28"/>
          <w:szCs w:val="28"/>
          <w:highlight w:val="none"/>
        </w:rPr>
        <w:t xml:space="preserve">при обращении заявителя лично, по телефону, посредством электронной почты.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rFonts w:eastAsia="Yu Gothic Light"/>
          <w:b/>
          <w:sz w:val="28"/>
          <w:szCs w:val="28"/>
          <w:highlight w:val="none"/>
        </w:rPr>
      </w:pPr>
      <w:r>
        <w:rPr>
          <w:rFonts w:eastAsia="Yu Gothic Light"/>
          <w:b/>
          <w:sz w:val="28"/>
          <w:szCs w:val="28"/>
          <w:highlight w:val="none"/>
        </w:rPr>
        <w:t xml:space="preserve">Раздел </w:t>
      </w:r>
      <w:r>
        <w:rPr>
          <w:rFonts w:eastAsia="Yu Gothic Light"/>
          <w:b/>
          <w:sz w:val="28"/>
          <w:szCs w:val="28"/>
          <w:highlight w:val="none"/>
          <w:lang w:val="en-US"/>
        </w:rPr>
        <w:t xml:space="preserve">II</w:t>
      </w:r>
      <w:r>
        <w:rPr>
          <w:rFonts w:eastAsia="Yu Gothic Light"/>
          <w:b/>
          <w:sz w:val="28"/>
          <w:szCs w:val="28"/>
          <w:highlight w:val="none"/>
        </w:rPr>
        <w:t xml:space="preserve">. Стандарт предоставления</w:t>
      </w:r>
      <w:r>
        <w:rPr>
          <w:b/>
          <w:sz w:val="28"/>
          <w:szCs w:val="28"/>
          <w:highlight w:val="none"/>
        </w:rPr>
        <w:t xml:space="preserve"> </w:t>
      </w:r>
      <w:r>
        <w:rPr>
          <w:rFonts w:eastAsia="Yu Gothic Light"/>
          <w:b/>
          <w:sz w:val="28"/>
          <w:szCs w:val="28"/>
          <w:highlight w:val="none"/>
        </w:rPr>
        <w:t xml:space="preserve">Услуги</w:t>
      </w:r>
      <w:r>
        <w:rPr>
          <w:rFonts w:eastAsia="Yu Gothic Light"/>
          <w:b/>
          <w:sz w:val="28"/>
          <w:szCs w:val="28"/>
          <w:highlight w:val="none"/>
        </w:rPr>
      </w:r>
      <w:r>
        <w:rPr>
          <w:rFonts w:eastAsia="Yu Gothic Light"/>
          <w:b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rFonts w:eastAsia="Yu Gothic Light"/>
          <w:b/>
          <w:sz w:val="16"/>
          <w:szCs w:val="16"/>
          <w:highlight w:val="none"/>
        </w:rPr>
      </w:pPr>
      <w:r>
        <w:rPr>
          <w:rFonts w:eastAsia="Yu Gothic Light"/>
          <w:b/>
          <w:sz w:val="16"/>
          <w:szCs w:val="16"/>
          <w:highlight w:val="none"/>
        </w:rPr>
      </w:r>
      <w:r>
        <w:rPr>
          <w:rFonts w:eastAsia="Yu Gothic Light"/>
          <w:b/>
          <w:sz w:val="16"/>
          <w:szCs w:val="16"/>
          <w:highlight w:val="none"/>
        </w:rPr>
      </w:r>
      <w:r>
        <w:rPr>
          <w:rFonts w:eastAsia="Yu Gothic Light"/>
          <w:b/>
          <w:sz w:val="16"/>
          <w:szCs w:val="16"/>
          <w:highlight w:val="none"/>
        </w:rPr>
      </w:r>
    </w:p>
    <w:p>
      <w:pPr>
        <w:pStyle w:val="983"/>
        <w:jc w:val="center"/>
        <w:spacing w:after="0" w:afterAutospacing="0"/>
        <w:rPr>
          <w:highlight w:val="none"/>
        </w:rPr>
      </w:pPr>
      <w:r>
        <w:rPr>
          <w:b/>
          <w:sz w:val="28"/>
          <w:szCs w:val="28"/>
          <w:highlight w:val="none"/>
        </w:rPr>
        <w:t xml:space="preserve">Глава 4. </w:t>
      </w:r>
      <w:r>
        <w:rPr>
          <w:b/>
          <w:sz w:val="28"/>
          <w:szCs w:val="28"/>
          <w:highlight w:val="none"/>
        </w:rPr>
        <w:t xml:space="preserve">Наименование Муниципальной услуги</w:t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"/>
        </w:num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Получение права на размещение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Муниципальная услуга включает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подуслуги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получение требований к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предложение предусмотреть новое место под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ведение схемы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заключение договоров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на право размещения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НТО,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внесение изменений в договор на право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оформление подписки на получение уведомлений о размещении (изменении) схемы НТО, о старте торгов на право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отмена подписки на получение уведомлений о размещении (изменении) схемы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о старте торгов на право размещения НТО.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Глава 5. </w:t>
      </w:r>
      <w:r>
        <w:rPr>
          <w:b/>
          <w:bCs/>
          <w:sz w:val="28"/>
          <w:szCs w:val="28"/>
          <w:highlight w:val="none"/>
        </w:rPr>
        <w:t xml:space="preserve">Наименование уполномоченного органа, предоставляющего Муниципальную услугу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7. 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Услуга предоставляется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Администрацией Тайшетского муниципального округа через уполномоченные ораны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Уполномоченные органы, ответственные за предоставление </w:t>
      </w:r>
      <w:r>
        <w:rPr>
          <w:sz w:val="28"/>
          <w:szCs w:val="28"/>
          <w:highlight w:val="none"/>
        </w:rPr>
        <w:t xml:space="preserve">подуслуг</w:t>
      </w:r>
      <w:r>
        <w:rPr>
          <w:sz w:val="28"/>
          <w:szCs w:val="28"/>
          <w:highlight w:val="none"/>
        </w:rPr>
        <w:t xml:space="preserve"> Услуги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а) </w:t>
      </w:r>
      <w:r>
        <w:rPr>
          <w:sz w:val="28"/>
          <w:szCs w:val="28"/>
          <w:highlight w:val="none"/>
        </w:rPr>
        <w:t xml:space="preserve">Управление капитального строительства и архитектуры администрации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получение требований к нестационарным торговым объектам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б) </w:t>
      </w:r>
      <w:r>
        <w:rPr>
          <w:sz w:val="28"/>
          <w:szCs w:val="28"/>
          <w:highlight w:val="none"/>
        </w:rPr>
        <w:t xml:space="preserve">Управление экономического развития </w:t>
      </w:r>
      <w:r>
        <w:rPr>
          <w:sz w:val="28"/>
          <w:szCs w:val="28"/>
          <w:highlight w:val="none"/>
        </w:rPr>
        <w:t xml:space="preserve">администрации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предложение предусмотреть новое место под нестационарный торговый объект,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ведение схемы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оформление подписки на получение уведомлений о размещении (изменении) схемы НТО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отмена подписки на получение уведомлений о размещении (изменении) схемы НТО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в) </w:t>
      </w:r>
      <w:r>
        <w:rPr>
          <w:sz w:val="28"/>
          <w:szCs w:val="28"/>
          <w:highlight w:val="none"/>
        </w:rPr>
        <w:t xml:space="preserve">Управление имущественных и земельных отношений </w:t>
      </w:r>
      <w:r>
        <w:rPr>
          <w:sz w:val="28"/>
          <w:szCs w:val="28"/>
          <w:highlight w:val="none"/>
        </w:rPr>
        <w:t xml:space="preserve">администрации Тайшетского муниципального окр</w:t>
      </w:r>
      <w:r>
        <w:rPr>
          <w:sz w:val="28"/>
          <w:szCs w:val="28"/>
          <w:highlight w:val="none"/>
        </w:rPr>
        <w:t xml:space="preserve">уга</w:t>
      </w:r>
      <w:r>
        <w:rPr>
          <w:sz w:val="28"/>
          <w:szCs w:val="28"/>
          <w:highlight w:val="none"/>
        </w:rPr>
        <w:t xml:space="preserve">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заключение договоров на право размещения НТО, </w:t>
      </w:r>
      <w:r>
        <w:rPr>
          <w:sz w:val="28"/>
          <w:szCs w:val="28"/>
          <w:highlight w:val="none"/>
        </w:rPr>
        <w:t xml:space="preserve">внесение изменений в договор на право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оформление подписки на получение уведомлений о старте торгов на право размещения НТО;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отмена подписки на получение уведомлений о старте торгов на право размещения НТО.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8. </w:t>
      </w:r>
      <w:r>
        <w:rPr>
          <w:sz w:val="28"/>
          <w:szCs w:val="28"/>
          <w:highlight w:val="none"/>
        </w:rPr>
        <w:t xml:space="preserve">Возможность получения Услуги в многофункциональном центре предоставления государственных и муниципальных услуг не предусмотрена.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9. </w:t>
      </w:r>
      <w:r>
        <w:rPr>
          <w:sz w:val="28"/>
          <w:szCs w:val="28"/>
          <w:highlight w:val="none"/>
        </w:rPr>
        <w:t xml:space="preserve">При оказании Услуги </w:t>
      </w:r>
      <w:r>
        <w:rPr>
          <w:sz w:val="28"/>
          <w:szCs w:val="28"/>
          <w:highlight w:val="none"/>
        </w:rPr>
        <w:t xml:space="preserve">уполномоченные органы</w:t>
      </w:r>
      <w:r>
        <w:rPr>
          <w:sz w:val="28"/>
          <w:szCs w:val="28"/>
          <w:highlight w:val="none"/>
        </w:rPr>
        <w:t xml:space="preserve"> А</w:t>
      </w:r>
      <w:r>
        <w:rPr>
          <w:sz w:val="28"/>
          <w:szCs w:val="28"/>
          <w:highlight w:val="none"/>
        </w:rPr>
        <w:t xml:space="preserve">дминистрации Тайшетского муниципального округа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взаимодействуют по согласованию с территориальными органами федеральных органов исполнительной власти и иными заинтересованными организациями: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Федеральной налоговой службой;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Федеральной службой государственной реги</w:t>
      </w:r>
      <w:r>
        <w:rPr>
          <w:sz w:val="28"/>
          <w:szCs w:val="28"/>
          <w:highlight w:val="none"/>
        </w:rPr>
        <w:t xml:space="preserve">страции, кадастра и картографии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10.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Запрещено требовать от заявителя осуществления действий, в том числе согласований, необходимых для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получения Услуги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afterAutospacing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6.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Результат предоставления Муниципальной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11. Результатами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слуги 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еречень требований к размещению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ведомление о принятии положительного решения по заявке на рассмотрени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предложения о включении места в схему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ведомление о принятии отрицательного решения по заявке на рассмотрение предложения о включении места в схему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ведомление о принятии положительного решения по заявлению на изменение договора на право размещения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ведомление о принятии отрицательного решения по заявлению 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внесение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изменений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договор на право размещения НТО.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Документы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содержащие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решение о предоставлении муниципальной услуги, на основании которого заявителю предоставляется результат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не предусмотрены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12. Результаты предоставления Ус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луги направляются 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соответствии с выбранным заявителем способом получения результата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Едином портале;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бумажном носителе при личном обращении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уполномоченный орган;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почтового отправления;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электронной почте.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 w:line="360" w:lineRule="auto"/>
        <w:tabs>
          <w:tab w:val="num" w:pos="1276" w:leader="none"/>
        </w:tabs>
        <w:rPr>
          <w:sz w:val="16"/>
          <w:szCs w:val="18"/>
          <w:highlight w:val="none"/>
        </w:rPr>
      </w:pPr>
      <w:r>
        <w:rPr>
          <w:b/>
          <w:bCs/>
          <w:sz w:val="22"/>
          <w:szCs w:val="22"/>
          <w:highlight w:val="none"/>
        </w:rPr>
      </w:r>
      <w:r>
        <w:rPr>
          <w:sz w:val="16"/>
          <w:szCs w:val="18"/>
          <w:highlight w:val="none"/>
        </w:rPr>
      </w:r>
      <w:r>
        <w:rPr>
          <w:sz w:val="16"/>
          <w:szCs w:val="18"/>
          <w:highlight w:val="none"/>
        </w:rPr>
      </w:r>
    </w:p>
    <w:p>
      <w:pPr>
        <w:contextualSpacing/>
        <w:jc w:val="center"/>
        <w:spacing w:after="0" w:afterAutospacing="0" w:line="360" w:lineRule="auto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7.</w:t>
      </w:r>
      <w:r>
        <w:rPr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Срок предоставления Муниципальной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13. Сроки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слуги составляют: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получение требований к нестационарным торговым объектам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не более 5 рабочих дней со дня поступления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предложение предусмотреть новое место под нестационарный торговый объект,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ведение схемы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30 календарных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со дня поступления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заключение договоров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внесение изменений в договор) на право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30 календарных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со дня поступления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оформление подписки на получение уведомлений о размещении (изменении) схемы НТО, о старте торгов на право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 рабочих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со дня поступления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отмена подписки на получение уведомлений о размещении (изменении) схемы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 о старте торгов на право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–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 дня поступления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Срок предоставления Услуги определяется для каждого 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рианта и 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риведен в их описании, содержаще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мся в разделе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III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регламента.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8. </w:t>
      </w:r>
      <w:r>
        <w:rPr>
          <w:b/>
          <w:sz w:val="28"/>
          <w:szCs w:val="28"/>
          <w:highlight w:val="none"/>
        </w:rPr>
        <w:t xml:space="preserve">Размер платы, взимаемой с заявителя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при предоставлении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Услуги, и способы ее взимания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14. Предоставление услуги осуществляется без взимания платы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b/>
          <w:sz w:val="28"/>
          <w:szCs w:val="28"/>
          <w:highlight w:val="none"/>
        </w:rPr>
        <w:t xml:space="preserve">Глава 9. </w:t>
      </w:r>
      <w:r>
        <w:rPr>
          <w:b/>
          <w:sz w:val="28"/>
          <w:szCs w:val="28"/>
          <w:highlight w:val="none"/>
        </w:rPr>
        <w:t xml:space="preserve">Максимальный срок ожидания в очереди при подаче заявителем заявления и при получении результата предоставления Услуги при получении результата в случае обращения заявителя непосредственно в орган, предоставляющий муниципальные услуги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43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ожидания в очереди при подаче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заявления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составляет 15 минут.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3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ожидания в оч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ереди при получении результата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Услуги составляет 15 минут.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10. </w:t>
      </w:r>
      <w:r>
        <w:rPr>
          <w:b/>
          <w:sz w:val="28"/>
          <w:szCs w:val="28"/>
          <w:highlight w:val="none"/>
        </w:rPr>
        <w:t xml:space="preserve">Срок регистрации заявления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en-US"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43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личном обращении в Уполномоченный орган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егистрация заявления и документов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необходимых для предоставления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слуги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производится в день обращения за ее предоставлением в Уполномоченный орган.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 считается полученным уполномоченным органом со дня его регистрации в уполномоченном органе.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before="0" w:beforeAutospacing="0" w:after="0" w:afterAutospacing="0"/>
        <w:widowControl w:val="off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numPr>
          <w:ilvl w:val="0"/>
          <w:numId w:val="43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Регистрация заявления, полученного в электронной форме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посредством Единого портала,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 производится в день отправления данного заявления. Заявление, полученное после 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00 рабочего дня либо в нерабочий день, рассматривается уполномоченным органом на следующий рабочий день.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b/>
          <w:color w:val="000000" w:themeColor="text1"/>
          <w:sz w:val="28"/>
          <w:szCs w:val="28"/>
          <w:highlight w:val="none"/>
        </w:rPr>
        <w:t xml:space="preserve">Глава 11. </w:t>
      </w:r>
      <w:r>
        <w:rPr>
          <w:b/>
          <w:sz w:val="28"/>
          <w:szCs w:val="28"/>
          <w:highlight w:val="none"/>
        </w:rPr>
        <w:t xml:space="preserve">Требования к помещениям, в которых предоставляется Услуга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>
        <w:rPr>
          <w:sz w:val="28"/>
          <w:szCs w:val="28"/>
        </w:rPr>
        <w:t xml:space="preserve">Помещение, в котором предоставляется муниципальная услуга, должно соответствовать санитарно-эпидемиологическим требованиям, правилам пожарной безопасности, нормам охраны труда, а также требованиям законодательства в сфере социальной защиты инвалидов.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Рабочее место работника, предоставляющего муниципальную услугу, оборудуется персональным компьютером с возм</w:t>
      </w:r>
      <w:r>
        <w:rPr>
          <w:sz w:val="28"/>
          <w:szCs w:val="28"/>
        </w:rPr>
        <w:t xml:space="preserve">ожностью доступа к необходимым информационным базам данных и печатающим устройствам, позволяющим своевременно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Места ожидания оборудуются стульями или скамьями, информационными стендами.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информационных стендах, расположенных в здании при входе в кабинет, в котором предоставляется муниципальная услуга, размещается следующая информация: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местонахождении, контактных телефонах, адресах официальных сайтов в сети Интернет и электронной почты, графике работы уполномоченного органа;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93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перечень и формы документов, необходимых для предоставления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образцы заявлений для получения муниципальной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основания для отказа в приеме документов;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основания для отказа в предоставлении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порядок обжалования действий (бездействия) должностных лиц;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3"/>
        <w:ind w:firstLine="709"/>
        <w:jc w:val="both"/>
        <w:widowControl/>
        <w:rPr>
          <w:sz w:val="24"/>
          <w:szCs w:val="24"/>
        </w:rPr>
        <w:suppressLineNumbers/>
      </w:pPr>
      <w:r>
        <w:rPr>
          <w:sz w:val="28"/>
          <w:szCs w:val="28"/>
        </w:rPr>
        <w:t xml:space="preserve">Административный</w:t>
      </w:r>
      <w:r>
        <w:rPr>
          <w:sz w:val="28"/>
          <w:szCs w:val="28"/>
        </w:rPr>
        <w:t xml:space="preserve"> регламент.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12.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Показатели доступности и качества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567"/>
        <w:jc w:val="both"/>
        <w:widowControl w:val="off"/>
        <w:tabs>
          <w:tab w:val="left" w:pos="2074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20. Основными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показателями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доступности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предоставления</w:t>
      </w:r>
      <w:r>
        <w:rPr>
          <w:color w:val="000000" w:themeColor="text1"/>
          <w:spacing w:val="1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муниципальной</w:t>
      </w:r>
      <w:r>
        <w:rPr>
          <w:color w:val="000000" w:themeColor="text1"/>
          <w:spacing w:val="4"/>
          <w:sz w:val="28"/>
          <w:szCs w:val="32"/>
        </w:rPr>
        <w:t xml:space="preserve"> </w:t>
      </w:r>
      <w:r>
        <w:rPr>
          <w:color w:val="000000" w:themeColor="text1"/>
          <w:sz w:val="28"/>
          <w:szCs w:val="32"/>
        </w:rPr>
        <w:t xml:space="preserve">услуги являются: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н</w:t>
      </w:r>
      <w:r>
        <w:rPr>
          <w:color w:val="000000" w:themeColor="text1"/>
          <w:sz w:val="28"/>
          <w:szCs w:val="32"/>
        </w:rPr>
        <w:t xml:space="preserve">аличие полной и понятной информации о порядке, ср</w:t>
      </w:r>
      <w:r>
        <w:rPr>
          <w:color w:val="000000" w:themeColor="text1"/>
          <w:sz w:val="28"/>
          <w:szCs w:val="32"/>
        </w:rPr>
        <w:t xml:space="preserve">оках и ходе </w:t>
      </w:r>
      <w:r>
        <w:rPr>
          <w:color w:val="000000" w:themeColor="text1"/>
          <w:sz w:val="28"/>
          <w:szCs w:val="32"/>
        </w:rPr>
        <w:t xml:space="preserve">предоставления муницип</w:t>
      </w:r>
      <w:r>
        <w:rPr>
          <w:color w:val="000000" w:themeColor="text1"/>
          <w:sz w:val="28"/>
          <w:szCs w:val="32"/>
        </w:rPr>
        <w:t xml:space="preserve">альной услуги в информационно-</w:t>
      </w:r>
      <w:r>
        <w:rPr>
          <w:color w:val="000000" w:themeColor="text1"/>
          <w:sz w:val="28"/>
          <w:szCs w:val="32"/>
        </w:rPr>
        <w:t xml:space="preserve">телекоммуникационных сетях общего пользования (</w:t>
      </w:r>
      <w:r>
        <w:rPr>
          <w:color w:val="000000" w:themeColor="text1"/>
          <w:sz w:val="28"/>
          <w:szCs w:val="32"/>
        </w:rPr>
        <w:t xml:space="preserve">в том числе в сети «Интернет»), </w:t>
      </w:r>
      <w:r>
        <w:rPr>
          <w:color w:val="000000" w:themeColor="text1"/>
          <w:sz w:val="28"/>
          <w:szCs w:val="32"/>
        </w:rPr>
        <w:t xml:space="preserve">средствах массовой информации</w:t>
      </w:r>
      <w:r>
        <w:rPr>
          <w:color w:val="000000" w:themeColor="text1"/>
          <w:sz w:val="28"/>
          <w:szCs w:val="32"/>
        </w:rPr>
        <w:t xml:space="preserve">;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в</w:t>
      </w:r>
      <w:r>
        <w:rPr>
          <w:color w:val="000000" w:themeColor="text1"/>
          <w:sz w:val="28"/>
          <w:szCs w:val="32"/>
        </w:rPr>
        <w:t xml:space="preserve">озможность получения заявител</w:t>
      </w:r>
      <w:r>
        <w:rPr>
          <w:color w:val="000000" w:themeColor="text1"/>
          <w:sz w:val="28"/>
          <w:szCs w:val="32"/>
        </w:rPr>
        <w:t xml:space="preserve">ем уведомлений о предоставлении муниципальной</w:t>
      </w:r>
      <w:r>
        <w:rPr>
          <w:color w:val="000000" w:themeColor="text1"/>
          <w:sz w:val="28"/>
          <w:szCs w:val="32"/>
        </w:rPr>
        <w:t xml:space="preserve"> услуги с помощью Единого портала</w:t>
      </w:r>
      <w:r>
        <w:rPr>
          <w:color w:val="000000" w:themeColor="text1"/>
          <w:sz w:val="28"/>
          <w:szCs w:val="32"/>
        </w:rPr>
        <w:t xml:space="preserve">;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32"/>
        </w:rPr>
        <w:t xml:space="preserve">в</w:t>
      </w:r>
      <w:r>
        <w:rPr>
          <w:color w:val="000000" w:themeColor="text1"/>
          <w:sz w:val="28"/>
          <w:szCs w:val="32"/>
        </w:rPr>
        <w:t xml:space="preserve">озможность получения и</w:t>
      </w:r>
      <w:r>
        <w:rPr>
          <w:color w:val="000000" w:themeColor="text1"/>
          <w:sz w:val="28"/>
          <w:szCs w:val="32"/>
        </w:rPr>
        <w:t xml:space="preserve">нформации о ходе предоставления муниципальной</w:t>
      </w:r>
      <w:r>
        <w:rPr>
          <w:color w:val="000000" w:themeColor="text1"/>
          <w:sz w:val="28"/>
          <w:szCs w:val="32"/>
        </w:rPr>
        <w:t xml:space="preserve"> услуг</w:t>
      </w:r>
      <w:r>
        <w:rPr>
          <w:color w:val="000000" w:themeColor="text1"/>
          <w:sz w:val="28"/>
          <w:szCs w:val="32"/>
        </w:rPr>
        <w:t xml:space="preserve">и, в том числе с использованием </w:t>
      </w:r>
      <w:r>
        <w:rPr>
          <w:color w:val="000000" w:themeColor="text1"/>
          <w:sz w:val="28"/>
          <w:szCs w:val="32"/>
        </w:rPr>
        <w:t xml:space="preserve">информационно-коммуникационных технологий</w:t>
      </w:r>
      <w:r>
        <w:rPr>
          <w:color w:val="000000" w:themeColor="text1"/>
          <w:sz w:val="28"/>
          <w:szCs w:val="32"/>
        </w:rPr>
        <w:t xml:space="preserve">.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widowControl w:val="off"/>
        <w:tabs>
          <w:tab w:val="left" w:pos="1649" w:leader="none"/>
        </w:tabs>
        <w:rPr>
          <w:color w:val="000000" w:themeColor="text1"/>
          <w:sz w:val="40"/>
          <w:szCs w:val="44"/>
        </w:rPr>
      </w:pPr>
      <w:r>
        <w:rPr>
          <w:color w:val="000000" w:themeColor="text1"/>
          <w:sz w:val="28"/>
          <w:szCs w:val="28"/>
        </w:rPr>
        <w:t xml:space="preserve">Основными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показателями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качества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предоставления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муниципальной</w:t>
      </w:r>
      <w:r>
        <w:rPr>
          <w:color w:val="000000" w:themeColor="text1"/>
          <w:spacing w:val="-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услуги</w:t>
      </w:r>
      <w:r>
        <w:rPr>
          <w:color w:val="000000" w:themeColor="text1"/>
          <w:spacing w:val="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являются:</w:t>
      </w:r>
      <w:r>
        <w:rPr>
          <w:color w:val="000000" w:themeColor="text1"/>
          <w:sz w:val="40"/>
          <w:szCs w:val="44"/>
        </w:rPr>
      </w:r>
      <w:r>
        <w:rPr>
          <w:color w:val="000000" w:themeColor="text1"/>
          <w:sz w:val="40"/>
          <w:szCs w:val="4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профессиональной подготовки специалистов, предоставляющих муниципальную услугу;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культуры обслуживания заявителей;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89"/>
        <w:ind w:firstLine="709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полнота и актуальность информации о порядке предоставления муниципальной услуги;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сроков предоставления муниципальной услуги;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жалоб со стороны заявителей на решения и действия (бездействие) уполномоченного органа предоставляющего муниципальную услугу.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13. </w:t>
      </w:r>
      <w:r>
        <w:rPr>
          <w:b/>
          <w:sz w:val="28"/>
          <w:szCs w:val="28"/>
          <w:highlight w:val="none"/>
        </w:rPr>
        <w:t xml:space="preserve">Исчерпывающий перечень документов,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необходимых</w:t>
      </w:r>
      <w:r>
        <w:rPr>
          <w:b/>
          <w:sz w:val="28"/>
          <w:szCs w:val="28"/>
          <w:highlight w:val="none"/>
        </w:rPr>
        <w:t xml:space="preserve"> для предоставления Услуги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21. Исчерпывающий перечень документов, необходимых для предоставления Услуги, подлежащих представлению заявителем самостоятельно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4"/>
        </w:numPr>
        <w:contextualSpacing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заявление 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на оказание Услуги (Приложение 1 к Административному регламенту)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4"/>
        </w:numPr>
        <w:contextualSpacing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инженерно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-топографический план с границами 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предлагаемого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 места расположения НТО;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4"/>
        </w:numPr>
        <w:contextualSpacing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фото местности, где предполагается разместить новое место под НТО (при наличии);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4"/>
        </w:numPr>
        <w:contextualSpacing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 w:eastAsiaTheme="minorHAnsi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действующий договор на право размещения НТО (при наличии).</w:t>
      </w:r>
      <w:r>
        <w:rPr>
          <w:rFonts w:ascii="Times New Roman" w:hAnsi="Times New Roman" w:cs="Times New Roman" w:eastAsiaTheme="minorHAnsi"/>
          <w:sz w:val="28"/>
          <w:szCs w:val="28"/>
          <w:highlight w:val="none"/>
        </w:rPr>
      </w:r>
      <w:r>
        <w:rPr>
          <w:rFonts w:ascii="Times New Roman" w:hAnsi="Times New Roman" w:cs="Times New Roman" w:eastAsiaTheme="minorHAnsi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В случае представления заявления в электронной форме посредством Единого портала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</w:t>
      </w:r>
      <w:r>
        <w:rPr>
          <w:rFonts w:ascii="Times New Roman" w:hAnsi="Times New Roman" w:eastAsia="Times New Roman" w:cs="Times New Roman" w:eastAsiaTheme="minorHAnsi"/>
          <w:sz w:val="28"/>
          <w:szCs w:val="28"/>
          <w:highlight w:val="none"/>
        </w:rPr>
        <w:t xml:space="preserve">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Заявитель или его представитель представляет в уполномоченный орган заявление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оказание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а также прилагаемые к ним документы, одним из следующих способов: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45"/>
        </w:numPr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электронной форме посредством Единого портала.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45"/>
        </w:numPr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бумажном носителе посредством личного обращения в уполномоченный орган;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45"/>
        </w:numPr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бумажном носителе посредством почтового отправления с уведомлением о вручении в уполномоченный орган.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 w:line="259" w:lineRule="auto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23. 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не предусматривается.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предоставлении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слуги запрещается требовать от заявителя: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субъекта Российской Федерации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ведомст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9"/>
        <w:ind w:firstLine="709"/>
        <w:jc w:val="both"/>
        <w:spacing w:before="0" w:beforeAutospacing="0"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Заявитель вправе представить указанные документы и информацию по собственной инициативе.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14. </w:t>
      </w:r>
      <w:r>
        <w:rPr>
          <w:b/>
          <w:sz w:val="28"/>
          <w:szCs w:val="28"/>
          <w:highlight w:val="none"/>
        </w:rPr>
        <w:t xml:space="preserve">Исчерпывающий перечень оснований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  <w:t xml:space="preserve">для отказа</w:t>
      </w:r>
      <w:r>
        <w:rPr>
          <w:b/>
          <w:sz w:val="28"/>
          <w:szCs w:val="28"/>
          <w:highlight w:val="none"/>
        </w:rPr>
        <w:t xml:space="preserve"> </w:t>
      </w:r>
      <w:r>
        <w:rPr>
          <w:b/>
          <w:sz w:val="28"/>
          <w:szCs w:val="28"/>
          <w:highlight w:val="none"/>
        </w:rPr>
        <w:t xml:space="preserve">в приеме заявления</w:t>
      </w:r>
      <w:r>
        <w:rPr>
          <w:b/>
          <w:sz w:val="28"/>
          <w:szCs w:val="28"/>
          <w:highlight w:val="none"/>
        </w:rPr>
        <w:t xml:space="preserve"> (документов)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а) </w:t>
      </w:r>
      <w:r>
        <w:rPr>
          <w:sz w:val="28"/>
          <w:szCs w:val="28"/>
        </w:rPr>
        <w:t xml:space="preserve">заявление представленное в Уполномоченный орган</w:t>
      </w:r>
      <w:r>
        <w:rPr>
          <w:sz w:val="28"/>
          <w:szCs w:val="28"/>
        </w:rPr>
        <w:t xml:space="preserve">, в полномочия которого не входит предоставление у</w:t>
      </w:r>
      <w:r>
        <w:rPr>
          <w:sz w:val="28"/>
          <w:szCs w:val="28"/>
        </w:rPr>
        <w:t xml:space="preserve">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представленные документы содержат подчистки и исправления текста;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г) неполное заполнение полей в интерактивной форме заявления на Едином портале;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е) 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Заявление, поданное в форме электронного документа с использованием Единого портала, к рассмотрению не принимаетс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 в случае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некорректно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заполнени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обязательных полей в форме интерактивного запроса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Единого портала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пред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ставлени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 соответств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данн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ых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Решение об отказе в приеме документов, указанных в пункте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Отказ в приеме документов не препятствует повторному обращению заявителя в уполномоченный орган за предоставлением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15. </w:t>
      </w:r>
      <w:r>
        <w:rPr>
          <w:b/>
          <w:sz w:val="28"/>
          <w:szCs w:val="28"/>
          <w:highlight w:val="none"/>
        </w:rPr>
        <w:t xml:space="preserve">Исчерпывающий перечень оснований для приостановления предоставления Услуги или отказа в предоставлении Услуги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Оснований для приостановления предоставления муниципальной услуги законодательством Российской Федерации не предусмотрено.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6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Основание для отказа в предоставлении Услуги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подача 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предоставление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с нарушением установленных требований и (или) предоставление документов, прилагаемых к заявлению, содержащих недостоверные сведения.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16. </w:t>
      </w:r>
      <w:r>
        <w:rPr>
          <w:b/>
          <w:sz w:val="28"/>
          <w:szCs w:val="28"/>
          <w:highlight w:val="none"/>
        </w:rPr>
        <w:t xml:space="preserve">Иные требования к предоставлению Услуги</w:t>
      </w: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47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Информационные системы, используемые для предоставления Услуги: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47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Единый портал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47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единая система межведомственного электронного взаимодействия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47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федеральная государственная информационная система «Единая система предоставления государственных и муниципальных услуг (сервисов)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(далее – ФГИС ПГС)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left" w:pos="1021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left" w:pos="1021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Раздел </w:t>
      </w:r>
      <w:r>
        <w:rPr>
          <w:b/>
          <w:bCs/>
          <w:sz w:val="28"/>
          <w:szCs w:val="28"/>
          <w:highlight w:val="none"/>
          <w:lang w:val="en-US"/>
        </w:rPr>
        <w:t xml:space="preserve">III</w:t>
      </w:r>
      <w:r>
        <w:rPr>
          <w:b/>
          <w:bCs/>
          <w:sz w:val="28"/>
          <w:szCs w:val="28"/>
          <w:highlight w:val="none"/>
        </w:rPr>
        <w:t xml:space="preserve">. Состав, последовательность и сроки выполнения административных процедур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left" w:pos="1021" w:leader="none"/>
        </w:tabs>
        <w:rPr>
          <w:sz w:val="16"/>
          <w:szCs w:val="16"/>
          <w:highlight w:val="none"/>
        </w:rPr>
      </w:pP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  <w:r>
        <w:rPr>
          <w:sz w:val="16"/>
          <w:szCs w:val="16"/>
          <w:highlight w:val="none"/>
        </w:rPr>
      </w:r>
    </w:p>
    <w:p>
      <w:pPr>
        <w:contextualSpacing/>
        <w:jc w:val="center"/>
        <w:spacing w:after="0" w:afterAutospacing="0"/>
        <w:tabs>
          <w:tab w:val="left" w:pos="1021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Глава 17. </w:t>
      </w:r>
      <w:r>
        <w:rPr>
          <w:b/>
          <w:bCs/>
          <w:sz w:val="28"/>
          <w:szCs w:val="28"/>
          <w:highlight w:val="none"/>
        </w:rPr>
        <w:t xml:space="preserve">Перечень вариантов предоставления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left" w:pos="1021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обращении заявителя за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получением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требований к нестационарным торговым объектам.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Услуга предоставляется в соответствии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 следующими вариантами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bookmarkStart w:id="2" w:name="_Hlk205998248"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физическ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лиц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2: юридические лица;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индивидуальные предприниматели.</w:t>
      </w:r>
      <w:bookmarkEnd w:id="2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обращении 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 целью предложить предусмотреть новое место под нестационарный торговый объект,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ведение схемы размещения НТО.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Услуга предоставляется в соответствии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 следующими вариантами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физические лица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5: юридические лица;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6: индивидуальные предприниматели.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обращении заявителя за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заключением договоров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внесением изменений в договор на право размещения НТО.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Услуга предоставляется в соответствии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 следующими вариантами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физические лица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8: юридические лица;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9: индивидуальные предприниматели.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обращении заявителя за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оформлением подписки на получение уведомлений о размещении (изменении) схемы НТО, о старте торгов на право размещения НТО.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Услуга предоставляется в соответствии со следующими вариантами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физические лица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11: юридические лица;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12: индивидуальные предприниматели.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При обращении заявителя за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отменой подписки на получение уведомлений о размещении (изменении) схемы НТО, о старте торгов на право размещения НТО.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Услуга предоставляется в соответствии со следующими вариантами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физические лица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14: юридические лица;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left" w:pos="1276" w:leader="none"/>
          <w:tab w:val="left" w:pos="1985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Вариант 15: индивидуальные предприниматели.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Возможность оставления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без рассмотрения не предусмотрена.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83"/>
        <w:jc w:val="center"/>
        <w:spacing w:after="0" w:afterAutospacing="0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18. </w:t>
      </w:r>
      <w:r>
        <w:rPr>
          <w:b/>
          <w:sz w:val="28"/>
          <w:szCs w:val="28"/>
          <w:highlight w:val="none"/>
        </w:rPr>
        <w:t xml:space="preserve">Профилирование заявителя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val="en-US"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Вариант определяется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путем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профилирования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Профилирование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осуществ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посредством Единого портала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г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val="en-US"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По результатам получения ответов от заявителя на вопросы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профилирования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ым регламентом, каждая из которых соответствует одному варианту.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писания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вариантов, приведенные в настоящем разделе, размещаются </w:t>
      </w:r>
      <w:r>
        <w:rPr>
          <w:sz w:val="28"/>
          <w:szCs w:val="28"/>
          <w:highlight w:val="none"/>
        </w:rPr>
        <w:t xml:space="preserve">уполномоченным органом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 Тайшетского муниципального округа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общедоступном для ознакомления месте.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составляет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 более 5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предоставления варианта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перечень требований к размещению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keepNext/>
        <w:spacing w:before="0" w:beforeAutospacing="0" w:after="0" w:afterAutospacing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содержащи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решени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о предоставлении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процедур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осуществляемые при предоставлении 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соответствии с настоящим вариантом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прием заявления (документ удостоверяющий личность) необходимого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 предоставление результата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 более 5 рабочих дней 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перечень требований к размещению НТО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keepNext/>
        <w:spacing w:before="0" w:beforeAutospacing="0" w:after="0" w:afterAutospacing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прием 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(документ удостоверяющий личность)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необходимого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перечень требований к размещению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2"/>
        </w:numPr>
        <w:ind w:left="0" w:firstLine="709"/>
        <w:jc w:val="both"/>
        <w:keepNext/>
        <w:spacing w:before="0" w:beforeAutospacing="0" w:after="0" w:afterAutospacing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прием заявления необходимого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составляет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календарных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предоставления варианта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положительного решения по заявке на рассмотрение предложения о включении места в схему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(Приложение 2 к Административному регламенту)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отрицательного решения по заявке на рассмотрение предложения о включении места в схему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(Приложение 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Административному регламенту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/>
        <w:jc w:val="both"/>
        <w:keepNext/>
        <w:spacing w:before="0" w:beforeAutospacing="0" w:after="0" w:afterAutospacing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процедур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осуществляемые при предоставлении 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соответствии с настоящим вариантом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предоставление результата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не более 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календарных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положительного решения по заявке на рассмотрение предложения о включении места в схему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(Приложение 2 к Административному регламенту)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отрицательного решения по заявке на рассмотрение предложения о включении места в схему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(Приложение 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Административному регламенту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/>
        <w:jc w:val="both"/>
        <w:keepNext/>
        <w:spacing w:before="0" w:beforeAutospacing="0" w:after="0" w:afterAutospacing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предоставление результата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0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календарных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положительного решения по заявке на рассмотрение предложения о включении места в схему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(Приложение 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Административному регламенту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отрицательного решения по заявке на рассмотрение предложения о включении места в схему размещения НТО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(Приложение 2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 Административному регламенту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/>
        <w:jc w:val="both"/>
        <w:keepNext/>
        <w:spacing w:before="0" w:beforeAutospacing="0" w:after="0" w:afterAutospacing="0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ab/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предоставление результата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составляет не более 30 календарных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предоставления варианта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положительного решения по заявлению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заключение (изменение)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договора 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уведомление о принятии отрицательного решения по заявлению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заключение (изменение)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договора 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процедур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осуществляемые при предоставлении 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соответствии с настоящим вариантом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предоставление результата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Заключение договора на право размещения НТО может осуществляться с использованием государственной информационной системы (ГИС) «Торги» при наличии технической возможности.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30 календарных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25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положительного решения по заявлению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заключение (изменение)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договора 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25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уведомление о принятии отрицательного решения по заявлению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заключение (изменение)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договора 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предоставление результата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Заключение договора на право размещения НТО может осуществляться с использованием ГИС «Торги» при наличии технической возможности.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не более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30 календарных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дней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26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 о принятии положительного решения по заявлению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заключение (изменение)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договора 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26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уведомление о принятии отрицательного решения по заявлению на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заключение (изменение)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договора на право размещения НТО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принятие решения о предоставлении (об отказе в предоставлении)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предоставление результата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bookmarkStart w:id="3" w:name="_Hlk206000377"/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Заключение договора на право размещения НТО может осуществляться с использованием ГИС «Торги» при наличии технической возможности.</w:t>
      </w:r>
      <w:bookmarkEnd w:id="3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составляет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предоставления варианта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уведомление, содержащее сведения о подписке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bookmarkStart w:id="4" w:name="_Hlk206000071"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</w:t>
      </w:r>
      <w:bookmarkEnd w:id="4"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процедур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ы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осуществляемые при предоставлении 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в соответствии с настоящим вариантом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) предоставление результата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</w:t>
      </w:r>
      <w:bookmarkStart w:id="5" w:name="_Hlk206000099"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отправка проактивных уведомлений заявителям по сведениям, указанным в заявлении в части </w:t>
      </w:r>
      <w:bookmarkEnd w:id="5"/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изменения схемы НТО, старта торгов на право размещения НТО посредством государственной электронной почтовой системы (далее - ГЭПС).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уведомление, содержащее сведения о подписке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уведомление, содержащее сведения о подписке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в) отправка проактивных уведомлений заявителям по сведениям, указанным в заявлении в части изменения схемы НТО, старта торгов на право размещения НТО посредством государственной электронной почтовой системы.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являются: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1"/>
          <w:numId w:val="30"/>
        </w:numPr>
        <w:contextualSpacing/>
        <w:ind w:left="0" w:firstLine="709"/>
        <w:jc w:val="both"/>
        <w:spacing w:before="0" w:beforeAutospacing="0" w:after="0" w:afterAutospacing="0"/>
        <w:tabs>
          <w:tab w:val="left" w:pos="1021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уведомление, содержащее сведения о об отмене подписки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уведомление, содержащее сведения о об отмене подписки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numPr>
          <w:ilvl w:val="0"/>
          <w:numId w:val="1"/>
        </w:numPr>
        <w:ind w:hanging="357"/>
        <w:jc w:val="center"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contextualSpacing/>
        <w:jc w:val="both"/>
        <w:keepNext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Максимальный срок предоставления варианта Услуги составляет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не более 5 р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абочих дней</w:t>
      </w:r>
      <w:r>
        <w:rPr>
          <w:rFonts w:ascii="Times New Roman" w:hAnsi="Times New Roman" w:eastAsia="Times New Roman" w:cs="Times New Roman"/>
          <w:bCs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(при наличии технической возможности Услуга оказывается в режиме «онлайн»)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left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Результатом предоставления варианта Услуги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уведомление, содержащее сведения о об отмене подписки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Документы, содержащие решение о предоставлении Услуги не предусмотрены.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Административные процедуры, осуществляемые при предоставлении Услуги в соответствии с настоящим вариантом: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а) прием заявления и документов и (или) информации, необходимых для предоставления Услуги;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б) предоставление результата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72"/>
        <w:ind w:left="0"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Раздел </w:t>
      </w:r>
      <w:r>
        <w:rPr>
          <w:b/>
          <w:bCs/>
          <w:sz w:val="28"/>
          <w:szCs w:val="28"/>
          <w:highlight w:val="none"/>
          <w:lang w:val="en-US"/>
        </w:rPr>
        <w:t xml:space="preserve">IV</w:t>
      </w:r>
      <w:r>
        <w:rPr>
          <w:b/>
          <w:bCs/>
          <w:sz w:val="28"/>
          <w:szCs w:val="28"/>
          <w:highlight w:val="none"/>
        </w:rPr>
        <w:t xml:space="preserve">. Формы </w:t>
      </w:r>
      <w:r>
        <w:rPr>
          <w:b/>
          <w:bCs/>
          <w:sz w:val="28"/>
          <w:szCs w:val="28"/>
          <w:highlight w:val="none"/>
        </w:rPr>
        <w:t xml:space="preserve">контроля за</w:t>
      </w:r>
      <w:r>
        <w:rPr>
          <w:b/>
          <w:bCs/>
          <w:sz w:val="28"/>
          <w:szCs w:val="28"/>
          <w:highlight w:val="none"/>
        </w:rPr>
        <w:t xml:space="preserve"> исполнением </w:t>
      </w:r>
      <w:r>
        <w:rPr>
          <w:b/>
          <w:bCs/>
          <w:sz w:val="28"/>
          <w:szCs w:val="28"/>
          <w:highlight w:val="none"/>
        </w:rPr>
        <w:t xml:space="preserve">Административн</w:t>
      </w:r>
      <w:r>
        <w:rPr>
          <w:b/>
          <w:bCs/>
          <w:sz w:val="28"/>
          <w:szCs w:val="28"/>
          <w:highlight w:val="none"/>
        </w:rPr>
        <w:t xml:space="preserve">ого регламента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72"/>
        <w:ind w:left="0"/>
        <w:jc w:val="center"/>
        <w:spacing w:after="0" w:afterAutospacing="0"/>
        <w:tabs>
          <w:tab w:val="num" w:pos="1276" w:leader="none"/>
        </w:tabs>
        <w:rPr>
          <w:b/>
          <w:bCs/>
          <w:sz w:val="16"/>
          <w:szCs w:val="16"/>
          <w:highlight w:val="none"/>
        </w:rPr>
      </w:pPr>
      <w:r>
        <w:rPr>
          <w:b/>
          <w:bCs/>
          <w:sz w:val="16"/>
          <w:szCs w:val="16"/>
          <w:highlight w:val="none"/>
        </w:rPr>
      </w:r>
      <w:r>
        <w:rPr>
          <w:b/>
          <w:bCs/>
          <w:sz w:val="16"/>
          <w:szCs w:val="16"/>
          <w:highlight w:val="none"/>
        </w:rPr>
      </w:r>
      <w:r>
        <w:rPr>
          <w:b/>
          <w:bCs/>
          <w:sz w:val="16"/>
          <w:szCs w:val="16"/>
          <w:highlight w:val="none"/>
        </w:rPr>
      </w:r>
    </w:p>
    <w:p>
      <w:pPr>
        <w:pStyle w:val="972"/>
        <w:ind w:left="0"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Глава 19. </w:t>
      </w:r>
      <w:r>
        <w:rPr>
          <w:b/>
          <w:bCs/>
          <w:sz w:val="28"/>
          <w:szCs w:val="28"/>
          <w:highlight w:val="none"/>
        </w:rPr>
        <w:t xml:space="preserve">Порядок осуществления текущего </w:t>
      </w:r>
      <w:r>
        <w:rPr>
          <w:b/>
          <w:bCs/>
          <w:sz w:val="28"/>
          <w:szCs w:val="28"/>
          <w:highlight w:val="none"/>
        </w:rPr>
        <w:t xml:space="preserve">контроля за</w:t>
      </w:r>
      <w:r>
        <w:rPr>
          <w:b/>
          <w:bCs/>
          <w:sz w:val="28"/>
          <w:szCs w:val="28"/>
          <w:highlight w:val="none"/>
        </w:rPr>
        <w:t xml:space="preserve"> соблюдением и исполнением ответственными должностными лицами положений </w:t>
      </w:r>
      <w:r>
        <w:rPr>
          <w:b/>
          <w:bCs/>
          <w:sz w:val="28"/>
          <w:szCs w:val="28"/>
          <w:highlight w:val="none"/>
        </w:rPr>
        <w:t xml:space="preserve">Административн</w:t>
      </w:r>
      <w:r>
        <w:rPr>
          <w:b/>
          <w:bCs/>
          <w:sz w:val="28"/>
          <w:szCs w:val="28"/>
          <w:highlight w:val="none"/>
        </w:rPr>
        <w:t xml:space="preserve">ого регламента и иных нормативных правовых актов, устанавливающих требования к предоставлению Услуги, а также принятием ими решений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pStyle w:val="972"/>
        <w:ind w:left="0"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Текущий контроль за соблюдением и исполнением ответственными должностными лицами 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настоящего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должностными лицами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Уполномоченного органа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уполномоченными на осуществление контроля за предоставлением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Текущий контроль осуществляется посредством проведения плановых и внеплановых проверок.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Глава 20. </w:t>
      </w:r>
      <w:r>
        <w:rPr>
          <w:b/>
          <w:bCs/>
          <w:sz w:val="28"/>
          <w:szCs w:val="28"/>
          <w:highlight w:val="none"/>
        </w:rPr>
        <w:t xml:space="preserve"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Нарушившие требования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настоящего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Административн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ого регламента должностные лица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  <w:t xml:space="preserve">Глава 21.</w:t>
      </w:r>
      <w:r>
        <w:rPr>
          <w:sz w:val="28"/>
          <w:szCs w:val="28"/>
          <w:highlight w:val="none"/>
        </w:rPr>
        <w:t xml:space="preserve"> </w:t>
      </w:r>
      <w:r>
        <w:rPr>
          <w:b/>
          <w:bCs/>
          <w:sz w:val="28"/>
          <w:szCs w:val="28"/>
          <w:highlight w:val="none"/>
        </w:rPr>
        <w:t xml:space="preserve">Положения, характеризующие требования к порядку и формам </w:t>
      </w:r>
      <w:r>
        <w:rPr>
          <w:b/>
          <w:bCs/>
          <w:sz w:val="28"/>
          <w:szCs w:val="28"/>
          <w:highlight w:val="none"/>
        </w:rPr>
        <w:t xml:space="preserve">контроля за</w:t>
      </w:r>
      <w:r>
        <w:rPr>
          <w:b/>
          <w:bCs/>
          <w:sz w:val="28"/>
          <w:szCs w:val="28"/>
          <w:highlight w:val="none"/>
        </w:rPr>
        <w:t xml:space="preserve"> предоставлением Услуги, в том числе со стороны граждан, их объединений и организаций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Контроль за предоставлением Услуги, в том ч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left="709" w:firstLine="0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jc w:val="center"/>
        <w:spacing w:after="0" w:afterAutospacing="0"/>
        <w:tabs>
          <w:tab w:val="num" w:pos="1276" w:leader="none"/>
        </w:tabs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  <w:t xml:space="preserve">Раздел </w:t>
      </w:r>
      <w:r>
        <w:rPr>
          <w:b/>
          <w:bCs/>
          <w:sz w:val="28"/>
          <w:szCs w:val="28"/>
          <w:highlight w:val="none"/>
          <w:lang w:val="en-US"/>
        </w:rPr>
        <w:t xml:space="preserve">V</w:t>
      </w:r>
      <w:r>
        <w:rPr>
          <w:b/>
          <w:bCs/>
          <w:sz w:val="28"/>
          <w:szCs w:val="28"/>
          <w:highlight w:val="none"/>
        </w:rPr>
        <w:t xml:space="preserve">. Досудебный (внесудебный) порядок обжалования решений и действий (бездействия) уполномоченного органа, предоставляющего</w:t>
      </w:r>
      <w:r>
        <w:rPr>
          <w:b/>
          <w:bCs/>
          <w:sz w:val="28"/>
          <w:szCs w:val="28"/>
          <w:highlight w:val="none"/>
        </w:rPr>
        <w:t xml:space="preserve"> Услугу, а также их должностных лиц, государственных или муниципальных служащих, работников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keepLines/>
        <w:keepNext/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highlight w:val="none"/>
        </w:rPr>
        <w:outlineLvl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Информирование заявителей о порядке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досудебного (внесудебного) обжалования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осуществляется посредством размещения информации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Едином портале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 официальном сайте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 Тайшетского муниципального округа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сети «Интернет»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размещения информации на информационных стендах в местах предоставления Услуги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numPr>
          <w:ilvl w:val="0"/>
          <w:numId w:val="30"/>
        </w:numPr>
        <w:contextualSpacing/>
        <w:ind w:firstLine="709"/>
        <w:jc w:val="both"/>
        <w:spacing w:before="0" w:beforeAutospacing="0" w:after="0" w:afterAutospacing="0"/>
        <w:tabs>
          <w:tab w:val="num" w:pos="1276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Жалобы в форме электронных документов направляются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Единого портала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официального сайта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 Тайшетского муниципального округа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tabs>
          <w:tab w:val="left" w:pos="1418" w:leader="none"/>
          <w:tab w:val="num" w:pos="156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Жалобы в форме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 бумажном носителе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  <w:t xml:space="preserve"> направляются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посредством почтового отправления, личного обращения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952"/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Начальник Управления экономического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2"/>
          <w:szCs w:val="22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развития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Тайшетского </w:t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  <w:r>
        <w:rPr>
          <w:rFonts w:ascii="Times New Roman" w:hAnsi="Times New Roman" w:eastAsia="Times New Roman" w:cs="Times New Roman"/>
          <w:sz w:val="22"/>
          <w:szCs w:val="22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муниципального округа                                                                             Н.В. Климанова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afterAutospacing="0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rFonts w:ascii="Times New Roman" w:hAnsi="Times New Roman" w:eastAsia="Times New Roman" w:cs="Times New Roman"/>
          <w:sz w:val="40"/>
          <w:szCs w:val="40"/>
        </w:rPr>
      </w:r>
      <w:r>
        <w:rPr>
          <w:sz w:val="28"/>
          <w:szCs w:val="32"/>
        </w:rPr>
        <w:t xml:space="preserve">Приложение 1 к 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sz w:val="28"/>
          <w:szCs w:val="32"/>
        </w:rPr>
        <w:t xml:space="preserve">Административному регламенту по </w:t>
      </w:r>
      <w:r>
        <w:rPr>
          <w:sz w:val="28"/>
          <w:szCs w:val="32"/>
        </w:rPr>
        <w:t xml:space="preserve">предоставлению 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sz w:val="28"/>
          <w:szCs w:val="32"/>
        </w:rPr>
        <w:t xml:space="preserve">муниципальной услуги «Получение права </w:t>
      </w:r>
      <w:r>
        <w:rPr>
          <w:sz w:val="28"/>
          <w:szCs w:val="32"/>
        </w:rPr>
        <w:t xml:space="preserve">на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sz w:val="28"/>
          <w:szCs w:val="32"/>
        </w:rPr>
        <w:t xml:space="preserve"> размещение </w:t>
      </w:r>
      <w:r>
        <w:rPr>
          <w:sz w:val="28"/>
          <w:szCs w:val="32"/>
        </w:rPr>
        <w:t xml:space="preserve">нестационарных торговых объектов</w:t>
      </w:r>
      <w:r>
        <w:rPr>
          <w:sz w:val="28"/>
          <w:szCs w:val="32"/>
        </w:rPr>
        <w:t xml:space="preserve">»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spacing w:after="0" w:afterAutospacing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Мэру Тайшетского муниципального округа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right"/>
        <w:spacing w:after="0" w:afterAutospacing="0"/>
        <w:rPr>
          <w:highlight w:val="none"/>
        </w:rPr>
      </w:pPr>
      <w:r>
        <w:rPr>
          <w:sz w:val="24"/>
          <w:szCs w:val="24"/>
          <w:highlight w:val="none"/>
        </w:rPr>
        <w:t xml:space="preserve">________________________________________________. </w:t>
      </w:r>
      <w:r>
        <w:rPr>
          <w:highlight w:val="none"/>
        </w:rPr>
      </w:r>
      <w:r>
        <w:rPr>
          <w:highlight w:val="none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от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(</w:t>
      </w:r>
      <w:r>
        <w:rPr>
          <w:rFonts w:ascii="Times New Roman" w:hAnsi="Times New Roman" w:cs="Times New Roman"/>
          <w:sz w:val="18"/>
          <w:szCs w:val="18"/>
        </w:rPr>
        <w:t xml:space="preserve">фамилия, имя, отчество заявителя,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  <w:t xml:space="preserve">полное </w:t>
      </w:r>
      <w:r>
        <w:rPr>
          <w:rFonts w:ascii="Times New Roman" w:hAnsi="Times New Roman" w:cs="Times New Roman"/>
          <w:sz w:val="18"/>
          <w:szCs w:val="18"/>
        </w:rPr>
        <w:t xml:space="preserve">наименование юр. лица, ИП)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(ОГРН, ИНН для юр. лиц, ИП)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(реквизиты документа, удостоверяющего личность заявителя)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(адрес заявителя, юр. адрес, почтовый индекс)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  <w:t xml:space="preserve">_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(реквизиты документа подтверждающего полномочия представителя)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92"/>
        <w:ind w:left="142" w:firstLine="0"/>
        <w:jc w:val="right"/>
        <w:tabs>
          <w:tab w:val="left" w:pos="425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sz w:val="22"/>
          <w:szCs w:val="22"/>
        </w:rPr>
        <w:t xml:space="preserve">E</w:t>
      </w:r>
      <w:r>
        <w:rPr>
          <w:rFonts w:ascii="Times New Roman" w:hAnsi="Times New Roman" w:cs="Times New Roman"/>
          <w:sz w:val="22"/>
          <w:szCs w:val="22"/>
        </w:rPr>
        <w:t xml:space="preserve">-</w:t>
      </w:r>
      <w:r>
        <w:rPr>
          <w:rFonts w:ascii="Times New Roman" w:hAnsi="Times New Roman" w:cs="Times New Roman"/>
          <w:sz w:val="22"/>
          <w:szCs w:val="22"/>
        </w:rPr>
        <w:t xml:space="preserve">m</w:t>
      </w:r>
      <w:r>
        <w:rPr>
          <w:rFonts w:ascii="Times New Roman" w:hAnsi="Times New Roman" w:cs="Times New Roman"/>
          <w:sz w:val="22"/>
          <w:szCs w:val="22"/>
        </w:rPr>
        <w:t xml:space="preserve">a</w:t>
      </w:r>
      <w:r>
        <w:rPr>
          <w:rFonts w:ascii="Times New Roman" w:hAnsi="Times New Roman" w:cs="Times New Roman"/>
          <w:sz w:val="22"/>
          <w:szCs w:val="22"/>
        </w:rPr>
        <w:t xml:space="preserve">i</w:t>
      </w:r>
      <w:r>
        <w:rPr>
          <w:rFonts w:ascii="Times New Roman" w:hAnsi="Times New Roman" w:cs="Times New Roman"/>
          <w:sz w:val="22"/>
          <w:szCs w:val="22"/>
        </w:rPr>
        <w:t xml:space="preserve">l</w:t>
      </w: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jc w:val="right"/>
        <w:spacing w:after="0" w:afterAutospacing="0"/>
        <w:rPr>
          <w:highlight w:val="none"/>
        </w:rPr>
      </w:pPr>
      <w:r>
        <w:t xml:space="preserve">контактный телефон:</w:t>
      </w:r>
      <w:r>
        <w:rPr>
          <w:sz w:val="28"/>
          <w:szCs w:val="28"/>
        </w:rPr>
        <w:t xml:space="preserve"> _______________________</w:t>
      </w:r>
      <w:r>
        <w:rPr>
          <w:highlight w:val="none"/>
        </w:rPr>
      </w:r>
      <w:r>
        <w:rPr>
          <w:highlight w:val="none"/>
        </w:rPr>
      </w:r>
    </w:p>
    <w:p>
      <w:pPr>
        <w:jc w:val="right"/>
        <w:spacing w:after="0" w:afterAutospacing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center"/>
        <w:spacing w:after="0" w:afterAutospacing="0"/>
        <w:rPr>
          <w:sz w:val="24"/>
          <w:szCs w:val="24"/>
          <w:highlight w:val="none"/>
        </w:rPr>
      </w:pPr>
      <w:r>
        <w:rPr>
          <w:sz w:val="24"/>
          <w:szCs w:val="28"/>
        </w:rPr>
        <w:t xml:space="preserve"> Заявление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spacing w:after="0" w:afterAutospacing="0"/>
        <w:rPr>
          <w:sz w:val="24"/>
          <w:szCs w:val="24"/>
        </w:rPr>
      </w:pPr>
      <w:r>
        <w:rPr>
          <w:sz w:val="24"/>
          <w:szCs w:val="2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1134"/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Прошу предоставить право на размещение нестационарного торгового объекта _________________________________ на территории</w:t>
      </w:r>
      <w:r>
        <w:rPr>
          <w:sz w:val="24"/>
          <w:szCs w:val="28"/>
        </w:rPr>
        <w:t xml:space="preserve"> _______________________________________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(тип</w:t>
      </w:r>
      <w:r>
        <w:rPr>
          <w:sz w:val="24"/>
          <w:szCs w:val="28"/>
        </w:rPr>
        <w:t xml:space="preserve"> </w:t>
      </w:r>
      <w:r>
        <w:rPr>
          <w:sz w:val="24"/>
          <w:szCs w:val="28"/>
        </w:rPr>
        <w:t xml:space="preserve">торгового объекта</w:t>
      </w:r>
      <w:r>
        <w:rPr>
          <w:sz w:val="24"/>
          <w:szCs w:val="28"/>
        </w:rPr>
        <w:t xml:space="preserve">)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Адрес размещения нестационарного торгового объекта _____</w:t>
      </w:r>
      <w:r>
        <w:rPr>
          <w:sz w:val="24"/>
          <w:szCs w:val="28"/>
        </w:rPr>
        <w:t xml:space="preserve">__________</w:t>
      </w:r>
      <w:r>
        <w:rPr>
          <w:sz w:val="24"/>
          <w:szCs w:val="28"/>
        </w:rPr>
        <w:t xml:space="preserve">______________________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________________________________________________________________</w:t>
      </w:r>
      <w:r>
        <w:rPr>
          <w:sz w:val="24"/>
          <w:szCs w:val="28"/>
        </w:rPr>
        <w:t xml:space="preserve">_______</w:t>
      </w:r>
      <w:r>
        <w:rPr>
          <w:sz w:val="24"/>
          <w:szCs w:val="28"/>
        </w:rPr>
        <w:t xml:space="preserve">_____________,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площадь объекта __________________ </w:t>
      </w:r>
      <w:r>
        <w:rPr>
          <w:sz w:val="24"/>
          <w:szCs w:val="28"/>
        </w:rPr>
        <w:t xml:space="preserve">кв.м</w:t>
      </w:r>
      <w:r>
        <w:rPr>
          <w:sz w:val="24"/>
          <w:szCs w:val="28"/>
        </w:rPr>
        <w:t xml:space="preserve">., специализация объекта _____</w:t>
      </w:r>
      <w:r>
        <w:rPr>
          <w:sz w:val="24"/>
          <w:szCs w:val="28"/>
        </w:rPr>
        <w:t xml:space="preserve">___________</w:t>
      </w:r>
      <w:r>
        <w:rPr>
          <w:sz w:val="24"/>
          <w:szCs w:val="28"/>
        </w:rPr>
        <w:t xml:space="preserve">__________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__________________________________________________________________________________, период размещения нестационарного торгового объекта с «___» ___________20 ___ года по «____» _____________ 20___ года.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left"/>
        <w:spacing w:after="0" w:afterAutospacing="0"/>
        <w:rPr>
          <w:sz w:val="24"/>
          <w:szCs w:val="24"/>
          <w:highlight w:val="none"/>
        </w:rPr>
      </w:pPr>
      <w:r>
        <w:rPr>
          <w:sz w:val="24"/>
          <w:szCs w:val="24"/>
        </w:rPr>
      </w:r>
      <w:r>
        <w:rPr>
          <w:bCs/>
          <w:sz w:val="24"/>
          <w:szCs w:val="24"/>
        </w:rPr>
        <w:t xml:space="preserve">Приложение: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2"/>
        <w:numPr>
          <w:ilvl w:val="0"/>
          <w:numId w:val="23"/>
        </w:numPr>
        <w:jc w:val="left"/>
        <w:spacing w:after="0" w:afterAutospacing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Инженерно-топографический план с границами предлагаемого места расположения НТО;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2"/>
        <w:numPr>
          <w:ilvl w:val="0"/>
          <w:numId w:val="23"/>
        </w:numPr>
        <w:jc w:val="left"/>
        <w:spacing w:after="0" w:afterAutospacing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Фото местности, где предполагается разместить новое место под НТО (при наличии);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72"/>
        <w:numPr>
          <w:ilvl w:val="0"/>
          <w:numId w:val="23"/>
        </w:numPr>
        <w:jc w:val="left"/>
        <w:spacing w:after="0" w:afterAutospacing="0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Действующий договор на право размещения НТО (при наличии).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left"/>
        <w:spacing w:after="0" w:afterAutospacing="0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tabs>
          <w:tab w:val="left" w:pos="225" w:leader="none"/>
        </w:tabs>
        <w:rPr>
          <w:sz w:val="24"/>
          <w:szCs w:val="28"/>
        </w:rPr>
      </w:pPr>
      <w:r>
        <w:rPr>
          <w:sz w:val="24"/>
          <w:szCs w:val="28"/>
        </w:rPr>
        <w:t xml:space="preserve">Результат муниципальной услуги прошу предоставить (</w:t>
      </w:r>
      <w:r>
        <w:rPr>
          <w:i/>
          <w:sz w:val="24"/>
          <w:szCs w:val="28"/>
        </w:rPr>
        <w:t xml:space="preserve">напротив необходимого пункта поставить значок </w:t>
      </w:r>
      <w:r>
        <w:rPr>
          <w:i/>
          <w:sz w:val="24"/>
          <w:szCs w:val="28"/>
        </w:rPr>
        <w:t xml:space="preserve">√ </w:t>
      </w:r>
      <w:r>
        <w:rPr>
          <w:sz w:val="24"/>
          <w:szCs w:val="28"/>
        </w:rPr>
        <w:t xml:space="preserve">)</w:t>
      </w:r>
      <w:r>
        <w:rPr>
          <w:sz w:val="24"/>
          <w:szCs w:val="28"/>
        </w:rPr>
        <w:t xml:space="preserve">: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numPr>
          <w:ilvl w:val="0"/>
          <w:numId w:val="22"/>
        </w:numPr>
        <w:ind w:left="0" w:firstLine="540"/>
        <w:jc w:val="both"/>
        <w:tabs>
          <w:tab w:val="left" w:pos="225" w:leader="none"/>
        </w:tabs>
        <w:rPr>
          <w:sz w:val="24"/>
          <w:szCs w:val="28"/>
        </w:rPr>
      </w:pPr>
      <w:r>
        <w:rPr>
          <w:sz w:val="24"/>
          <w:szCs w:val="28"/>
        </w:rPr>
        <w:t xml:space="preserve">почтой;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numPr>
          <w:ilvl w:val="0"/>
          <w:numId w:val="22"/>
        </w:numPr>
        <w:ind w:left="0" w:firstLine="540"/>
        <w:jc w:val="both"/>
        <w:tabs>
          <w:tab w:val="left" w:pos="225" w:leader="none"/>
        </w:tabs>
        <w:rPr>
          <w:sz w:val="24"/>
          <w:szCs w:val="28"/>
        </w:rPr>
      </w:pPr>
      <w:r>
        <w:rPr>
          <w:sz w:val="24"/>
          <w:szCs w:val="28"/>
        </w:rPr>
        <w:t xml:space="preserve">на руки по месту сдачи заявки;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numPr>
          <w:ilvl w:val="0"/>
          <w:numId w:val="22"/>
        </w:numPr>
        <w:ind w:left="0" w:firstLine="540"/>
        <w:jc w:val="both"/>
        <w:tabs>
          <w:tab w:val="left" w:pos="225" w:leader="none"/>
        </w:tabs>
        <w:rPr>
          <w:sz w:val="24"/>
          <w:szCs w:val="28"/>
        </w:rPr>
      </w:pPr>
      <w:r>
        <w:rPr>
          <w:sz w:val="24"/>
          <w:szCs w:val="28"/>
        </w:rPr>
        <w:t xml:space="preserve">по электронной почте.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jc w:val="both"/>
        <w:spacing w:line="221" w:lineRule="auto"/>
        <w:widowControl w:val="off"/>
      </w:pPr>
      <w:r/>
      <w:r/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Достоверность и полноту сведений подтверждаю.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left="-567" w:firstLine="7"/>
        <w:jc w:val="both"/>
        <w:spacing w:line="233" w:lineRule="auto"/>
        <w:widowControl w:val="off"/>
        <w:rPr>
          <w:sz w:val="24"/>
          <w:szCs w:val="24"/>
          <w:highlight w:val="none"/>
        </w:rPr>
      </w:pPr>
      <w:r>
        <w:rPr>
          <w:bCs/>
          <w:sz w:val="24"/>
          <w:szCs w:val="28"/>
        </w:rPr>
        <w:t xml:space="preserve"> </w:t>
      </w:r>
      <w:r>
        <w:rPr>
          <w:bCs/>
          <w:sz w:val="24"/>
          <w:szCs w:val="28"/>
        </w:rPr>
        <w:tab/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both"/>
        <w:spacing w:line="221" w:lineRule="auto"/>
        <w:widowControl w:val="off"/>
        <w:rPr>
          <w:sz w:val="24"/>
          <w:szCs w:val="28"/>
        </w:rPr>
      </w:pPr>
      <w:r>
        <w:rPr>
          <w:sz w:val="24"/>
          <w:szCs w:val="28"/>
        </w:rPr>
        <w:t xml:space="preserve">Заявитель:_</w:t>
      </w:r>
      <w:r>
        <w:rPr>
          <w:sz w:val="24"/>
          <w:szCs w:val="28"/>
        </w:rPr>
        <w:t xml:space="preserve">_______________________________________       ________________</w:t>
      </w:r>
      <w:r>
        <w:rPr>
          <w:sz w:val="24"/>
          <w:szCs w:val="28"/>
        </w:rPr>
      </w:r>
      <w:r>
        <w:rPr>
          <w:sz w:val="24"/>
          <w:szCs w:val="28"/>
        </w:rPr>
      </w:r>
    </w:p>
    <w:p>
      <w:pPr>
        <w:ind w:firstLine="1276"/>
        <w:jc w:val="both"/>
        <w:spacing w:line="221" w:lineRule="auto"/>
        <w:widowControl w:val="off"/>
      </w:pPr>
      <w:r>
        <w:rPr>
          <w:sz w:val="16"/>
          <w:szCs w:val="18"/>
        </w:rPr>
        <w:t xml:space="preserve">(Ф. И. О. заявителя, Ф. И. О. представителя юридического лица)</w:t>
      </w:r>
      <w:r>
        <w:rPr>
          <w:sz w:val="16"/>
          <w:szCs w:val="18"/>
        </w:rPr>
        <w:tab/>
      </w:r>
      <w:r>
        <w:rPr>
          <w:sz w:val="24"/>
          <w:szCs w:val="28"/>
        </w:rPr>
        <w:t xml:space="preserve"> </w:t>
      </w:r>
      <w:r>
        <w:rPr>
          <w:sz w:val="16"/>
          <w:szCs w:val="18"/>
        </w:rPr>
        <w:t xml:space="preserve">   (</w:t>
      </w:r>
      <w:r>
        <w:rPr>
          <w:sz w:val="16"/>
          <w:szCs w:val="18"/>
        </w:rPr>
        <w:t xml:space="preserve">подпись)</w:t>
      </w:r>
      <w:r>
        <w:rPr>
          <w:sz w:val="16"/>
          <w:szCs w:val="18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/>
    </w:p>
    <w:p>
      <w:pPr>
        <w:jc w:val="both"/>
        <w:spacing w:line="221" w:lineRule="auto"/>
        <w:widowControl w:val="off"/>
        <w:rPr>
          <w:b/>
          <w:bCs/>
          <w:highlight w:val="none"/>
        </w:rPr>
      </w:pPr>
      <w:r>
        <w:t xml:space="preserve">«___</w:t>
      </w:r>
      <w:r>
        <w:t xml:space="preserve">_»_</w:t>
      </w:r>
      <w:r>
        <w:t xml:space="preserve">_____________20____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М.П.</w:t>
      </w:r>
      <w:r>
        <w:rPr>
          <w:b/>
          <w:bCs/>
        </w:rPr>
        <w:t xml:space="preserve">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rFonts w:ascii="Times New Roman" w:hAnsi="Times New Roman" w:eastAsia="Times New Roman" w:cs="Times New Roman"/>
          <w:sz w:val="40"/>
          <w:szCs w:val="40"/>
        </w:rPr>
      </w:r>
      <w:r>
        <w:rPr>
          <w:sz w:val="28"/>
          <w:szCs w:val="32"/>
        </w:rPr>
        <w:t xml:space="preserve">Приложение 2 к 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sz w:val="28"/>
          <w:szCs w:val="32"/>
        </w:rPr>
        <w:t xml:space="preserve">Административному регламенту по </w:t>
      </w:r>
      <w:r>
        <w:rPr>
          <w:sz w:val="28"/>
          <w:szCs w:val="32"/>
        </w:rPr>
        <w:t xml:space="preserve">предоставлению 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sz w:val="32"/>
          <w:szCs w:val="36"/>
        </w:rPr>
      </w:pPr>
      <w:r>
        <w:rPr>
          <w:sz w:val="28"/>
          <w:szCs w:val="32"/>
        </w:rPr>
        <w:t xml:space="preserve">муниципальной услуги «Получение права </w:t>
      </w:r>
      <w:r>
        <w:rPr>
          <w:sz w:val="28"/>
          <w:szCs w:val="32"/>
        </w:rPr>
        <w:t xml:space="preserve">на</w:t>
      </w:r>
      <w:r>
        <w:rPr>
          <w:sz w:val="32"/>
          <w:szCs w:val="36"/>
        </w:rPr>
      </w:r>
      <w:r>
        <w:rPr>
          <w:sz w:val="32"/>
          <w:szCs w:val="36"/>
        </w:rPr>
      </w:r>
    </w:p>
    <w:p>
      <w:pPr>
        <w:jc w:val="right"/>
        <w:spacing w:after="0" w:afterAutospacing="0"/>
        <w:rPr>
          <w:sz w:val="32"/>
          <w:szCs w:val="32"/>
          <w:highlight w:val="none"/>
        </w:rPr>
      </w:pPr>
      <w:r>
        <w:rPr>
          <w:sz w:val="28"/>
          <w:szCs w:val="32"/>
        </w:rPr>
        <w:t xml:space="preserve"> размещение </w:t>
      </w:r>
      <w:r>
        <w:rPr>
          <w:sz w:val="28"/>
          <w:szCs w:val="32"/>
        </w:rPr>
        <w:t xml:space="preserve">нестационарных торговых объектов</w:t>
      </w:r>
      <w:r>
        <w:rPr>
          <w:sz w:val="28"/>
          <w:szCs w:val="32"/>
        </w:rPr>
        <w:t xml:space="preserve">»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right"/>
        <w:spacing w:after="0" w:afterAutospacing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spacing w:after="0" w:afterAutospacing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spacing w:after="0" w:afterAutospacing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spacing w:after="0" w:afterAutospacing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Уведомление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 предоставлении (об отказе в предоставлении) права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размещение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нестационарного торгового объекта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 территории Тайшетского муниципального округа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center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Наименование юридического лица (индивидуального предпринимателя, физического лица)____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ИНН 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Адрес заявителя: 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32"/>
          <w:szCs w:val="3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</w:r>
    </w:p>
    <w:p>
      <w:pPr>
        <w:ind w:left="0" w:right="0" w:firstLine="1134"/>
        <w:jc w:val="both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Вам предоставлено право (отказано в предоставлении права) на размещение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нестационарного торгового объекта на территории Тайшетского муниципального округа __________________________________________________________________ _______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(в случае отказа указать причину отказа)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none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_____________________________         _____________________            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                  (должность)                                     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(подпись)                           (расшифровка подписи)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jc w:val="both"/>
        <w:shd w:val="clear" w:color="ffffff" w:fill="ffffff"/>
        <w:rPr>
          <w:rFonts w:ascii="Times New Roman" w:hAnsi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jc w:val="both"/>
        <w:spacing w:after="0" w:afterAutospacing="0"/>
        <w:rPr>
          <w:sz w:val="24"/>
          <w:szCs w:val="24"/>
        </w:rPr>
      </w:pPr>
      <w:r>
        <w:rPr>
          <w:sz w:val="24"/>
          <w:szCs w:val="2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92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92"/>
        <w:ind w:firstLine="0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92"/>
        <w:ind w:firstLine="0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92"/>
        <w:ind w:firstLine="0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line="221" w:lineRule="auto"/>
        <w:widowControl w:val="off"/>
        <w:rPr>
          <w:b/>
          <w:bCs/>
        </w:rPr>
      </w:pPr>
      <w:r>
        <w:rPr>
          <w:b/>
          <w:bCs/>
          <w:highlight w:val="none"/>
        </w:rPr>
      </w:r>
      <w:r>
        <w:rPr>
          <w:b/>
          <w:bCs/>
        </w:rPr>
      </w:r>
      <w:r>
        <w:rPr>
          <w:b/>
          <w:bCs/>
        </w:rPr>
      </w:r>
    </w:p>
    <w:sectPr>
      <w:headerReference w:type="default" r:id="rId9"/>
      <w:headerReference w:type="first" r:id="rId10"/>
      <w:footnotePr/>
      <w:endnotePr/>
      <w:type w:val="nextPage"/>
      <w:pgSz w:w="11906" w:h="16838" w:orient="portrait"/>
      <w:pgMar w:top="567" w:right="567" w:bottom="1134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Gothic Light">
    <w:panose1 w:val="020B0300000000000000"/>
  </w:font>
  <w:font w:name="Wingdings">
    <w:panose1 w:val="05000000000000000000"/>
  </w:font>
  <w:font w:name="Symbol">
    <w:panose1 w:val="05050102010706020507"/>
  </w:font>
  <w:font w:name="Courier New">
    <w:panose1 w:val="02070309020205020404"/>
  </w:font>
  <w:font w:name="Calibri">
    <w:panose1 w:val="020F0502020204030204"/>
  </w:font>
  <w:font w:name="Segoe UI">
    <w:panose1 w:val="020B0502040204020203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934510622"/>
      <w:docPartObj>
        <w:docPartGallery w:val="Page Numbers (Top of Page)"/>
        <w:docPartUnique w:val="true"/>
      </w:docPartObj>
      <w:rPr/>
    </w:sdtPr>
    <w:sdtContent>
      <w:p>
        <w:pPr>
          <w:pStyle w:val="97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16</w:t>
        </w:r>
        <w:r>
          <w:fldChar w:fldCharType="end"/>
        </w:r>
        <w:r/>
      </w:p>
    </w:sdtContent>
  </w:sdt>
  <w:p>
    <w:pPr>
      <w:pStyle w:val="97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3"/>
      <w:jc w:val="center"/>
    </w:pPr>
    <w:r/>
    <w:r/>
  </w:p>
  <w:p>
    <w:pPr>
      <w:pStyle w:val="97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Вариант 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none"/>
      <w:isLgl w:val="false"/>
      <w:suff w:val="tab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isLgl w:val="false"/>
      <w:suff w:val="tab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"/>
      <w:lvlJc w:val="left"/>
      <w:pPr>
        <w:ind w:left="900" w:hanging="360"/>
        <w:tabs>
          <w:tab w:val="num" w:pos="90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  <w:tabs>
          <w:tab w:val="num" w:pos="108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  <w:tabs>
          <w:tab w:val="num" w:pos="180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  <w:tabs>
          <w:tab w:val="num" w:pos="252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  <w:tabs>
          <w:tab w:val="num" w:pos="324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  <w:tabs>
          <w:tab w:val="num" w:pos="396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  <w:tabs>
          <w:tab w:val="num" w:pos="468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  <w:tabs>
          <w:tab w:val="num" w:pos="540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  <w:tabs>
          <w:tab w:val="num" w:pos="6120" w:leader="none"/>
        </w:tabs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3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multiLevelType w:val="hybridMultilevel"/>
    <w:lvl w:ilvl="0">
      <w:start w:val="32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multiLevelType w:val="hybridMultilevel"/>
    <w:lvl w:ilvl="0">
      <w:start w:val="18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multiLevelType w:val="hybridMultilevel"/>
    <w:lvl w:ilvl="0">
      <w:start w:val="15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4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5">
    <w:multiLevelType w:val="hybridMultilevel"/>
    <w:lvl w:ilvl="0">
      <w:start w:val="24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multiLevelType w:val="hybridMultilevel"/>
    <w:lvl w:ilvl="0">
      <w:start w:val="3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1"/>
  </w:num>
  <w:num w:numId="8">
    <w:abstractNumId w:val="6"/>
  </w:num>
  <w:num w:numId="9">
    <w:abstractNumId w:val="5"/>
  </w:num>
  <w:num w:numId="10">
    <w:abstractNumId w:val="0"/>
  </w:num>
  <w:num w:numId="11">
    <w:abstractNumId w:val="3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134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0">
    <w:name w:val="Heading 1 Char"/>
    <w:basedOn w:val="959"/>
    <w:link w:val="953"/>
    <w:uiPriority w:val="9"/>
    <w:rPr>
      <w:rFonts w:ascii="Arial" w:hAnsi="Arial" w:eastAsia="Arial" w:cs="Arial"/>
      <w:sz w:val="40"/>
      <w:szCs w:val="40"/>
    </w:rPr>
  </w:style>
  <w:style w:type="character" w:styleId="791">
    <w:name w:val="Heading 2 Char"/>
    <w:basedOn w:val="959"/>
    <w:link w:val="954"/>
    <w:uiPriority w:val="9"/>
    <w:rPr>
      <w:rFonts w:ascii="Arial" w:hAnsi="Arial" w:eastAsia="Arial" w:cs="Arial"/>
      <w:sz w:val="34"/>
    </w:rPr>
  </w:style>
  <w:style w:type="character" w:styleId="792">
    <w:name w:val="Heading 3 Char"/>
    <w:basedOn w:val="959"/>
    <w:link w:val="955"/>
    <w:uiPriority w:val="9"/>
    <w:rPr>
      <w:rFonts w:ascii="Arial" w:hAnsi="Arial" w:eastAsia="Arial" w:cs="Arial"/>
      <w:sz w:val="30"/>
      <w:szCs w:val="30"/>
    </w:rPr>
  </w:style>
  <w:style w:type="character" w:styleId="793">
    <w:name w:val="Heading 4 Char"/>
    <w:basedOn w:val="959"/>
    <w:link w:val="956"/>
    <w:uiPriority w:val="9"/>
    <w:rPr>
      <w:rFonts w:ascii="Arial" w:hAnsi="Arial" w:eastAsia="Arial" w:cs="Arial"/>
      <w:b/>
      <w:bCs/>
      <w:sz w:val="26"/>
      <w:szCs w:val="26"/>
    </w:rPr>
  </w:style>
  <w:style w:type="character" w:styleId="794">
    <w:name w:val="Heading 5 Char"/>
    <w:basedOn w:val="959"/>
    <w:link w:val="957"/>
    <w:uiPriority w:val="9"/>
    <w:rPr>
      <w:rFonts w:ascii="Arial" w:hAnsi="Arial" w:eastAsia="Arial" w:cs="Arial"/>
      <w:b/>
      <w:bCs/>
      <w:sz w:val="24"/>
      <w:szCs w:val="24"/>
    </w:rPr>
  </w:style>
  <w:style w:type="character" w:styleId="795">
    <w:name w:val="Heading 6 Char"/>
    <w:basedOn w:val="959"/>
    <w:link w:val="958"/>
    <w:uiPriority w:val="9"/>
    <w:rPr>
      <w:rFonts w:ascii="Arial" w:hAnsi="Arial" w:eastAsia="Arial" w:cs="Arial"/>
      <w:b/>
      <w:bCs/>
      <w:sz w:val="22"/>
      <w:szCs w:val="22"/>
    </w:rPr>
  </w:style>
  <w:style w:type="paragraph" w:styleId="796">
    <w:name w:val="Heading 7"/>
    <w:basedOn w:val="952"/>
    <w:next w:val="952"/>
    <w:link w:val="7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7">
    <w:name w:val="Heading 7 Char"/>
    <w:basedOn w:val="959"/>
    <w:link w:val="7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8">
    <w:name w:val="Heading 8"/>
    <w:basedOn w:val="952"/>
    <w:next w:val="952"/>
    <w:link w:val="7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9">
    <w:name w:val="Heading 8 Char"/>
    <w:basedOn w:val="959"/>
    <w:link w:val="798"/>
    <w:uiPriority w:val="9"/>
    <w:rPr>
      <w:rFonts w:ascii="Arial" w:hAnsi="Arial" w:eastAsia="Arial" w:cs="Arial"/>
      <w:i/>
      <w:iCs/>
      <w:sz w:val="22"/>
      <w:szCs w:val="22"/>
    </w:rPr>
  </w:style>
  <w:style w:type="paragraph" w:styleId="800">
    <w:name w:val="Heading 9"/>
    <w:basedOn w:val="952"/>
    <w:next w:val="952"/>
    <w:link w:val="8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1">
    <w:name w:val="Heading 9 Char"/>
    <w:basedOn w:val="959"/>
    <w:link w:val="800"/>
    <w:uiPriority w:val="9"/>
    <w:rPr>
      <w:rFonts w:ascii="Arial" w:hAnsi="Arial" w:eastAsia="Arial" w:cs="Arial"/>
      <w:i/>
      <w:iCs/>
      <w:sz w:val="21"/>
      <w:szCs w:val="21"/>
    </w:rPr>
  </w:style>
  <w:style w:type="paragraph" w:styleId="802">
    <w:name w:val="Title"/>
    <w:basedOn w:val="952"/>
    <w:next w:val="952"/>
    <w:link w:val="8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03">
    <w:name w:val="Title Char"/>
    <w:basedOn w:val="959"/>
    <w:link w:val="802"/>
    <w:uiPriority w:val="10"/>
    <w:rPr>
      <w:sz w:val="48"/>
      <w:szCs w:val="48"/>
    </w:rPr>
  </w:style>
  <w:style w:type="paragraph" w:styleId="804">
    <w:name w:val="Subtitle"/>
    <w:basedOn w:val="952"/>
    <w:next w:val="952"/>
    <w:link w:val="805"/>
    <w:uiPriority w:val="11"/>
    <w:qFormat/>
    <w:pPr>
      <w:spacing w:before="200" w:after="200"/>
    </w:pPr>
    <w:rPr>
      <w:sz w:val="24"/>
      <w:szCs w:val="24"/>
    </w:rPr>
  </w:style>
  <w:style w:type="character" w:styleId="805">
    <w:name w:val="Subtitle Char"/>
    <w:basedOn w:val="959"/>
    <w:link w:val="804"/>
    <w:uiPriority w:val="11"/>
    <w:rPr>
      <w:sz w:val="24"/>
      <w:szCs w:val="24"/>
    </w:rPr>
  </w:style>
  <w:style w:type="paragraph" w:styleId="806">
    <w:name w:val="Quote"/>
    <w:basedOn w:val="952"/>
    <w:next w:val="952"/>
    <w:link w:val="807"/>
    <w:uiPriority w:val="29"/>
    <w:qFormat/>
    <w:pPr>
      <w:ind w:left="720" w:right="720"/>
    </w:pPr>
    <w:rPr>
      <w:i/>
    </w:rPr>
  </w:style>
  <w:style w:type="character" w:styleId="807">
    <w:name w:val="Quote Char"/>
    <w:link w:val="806"/>
    <w:uiPriority w:val="29"/>
    <w:rPr>
      <w:i/>
    </w:rPr>
  </w:style>
  <w:style w:type="paragraph" w:styleId="808">
    <w:name w:val="Intense Quote"/>
    <w:basedOn w:val="952"/>
    <w:next w:val="952"/>
    <w:link w:val="8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9">
    <w:name w:val="Intense Quote Char"/>
    <w:link w:val="808"/>
    <w:uiPriority w:val="30"/>
    <w:rPr>
      <w:i/>
    </w:rPr>
  </w:style>
  <w:style w:type="character" w:styleId="810">
    <w:name w:val="Header Char"/>
    <w:basedOn w:val="959"/>
    <w:link w:val="973"/>
    <w:uiPriority w:val="99"/>
  </w:style>
  <w:style w:type="character" w:styleId="811">
    <w:name w:val="Footer Char"/>
    <w:basedOn w:val="959"/>
    <w:link w:val="975"/>
    <w:uiPriority w:val="99"/>
  </w:style>
  <w:style w:type="paragraph" w:styleId="812">
    <w:name w:val="Caption"/>
    <w:basedOn w:val="952"/>
    <w:next w:val="952"/>
    <w:link w:val="81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13">
    <w:name w:val="Caption Char"/>
    <w:basedOn w:val="959"/>
    <w:link w:val="812"/>
    <w:uiPriority w:val="35"/>
    <w:rPr>
      <w:b/>
      <w:bCs/>
      <w:color w:val="4f81bd" w:themeColor="accent1"/>
      <w:sz w:val="18"/>
      <w:szCs w:val="18"/>
    </w:rPr>
  </w:style>
  <w:style w:type="table" w:styleId="814">
    <w:name w:val="Table Grid Light"/>
    <w:basedOn w:val="9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Plain Table 1"/>
    <w:basedOn w:val="96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6">
    <w:name w:val="Plain Table 2"/>
    <w:basedOn w:val="96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7">
    <w:name w:val="Plain Table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8">
    <w:name w:val="Plain Table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Plain Table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0">
    <w:name w:val="Grid Table 1 Light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1 Light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Grid Table 1 Light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Grid Table 1 Light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Grid Table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2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2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2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3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3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3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4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42">
    <w:name w:val="Grid Table 4 - Accent 1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3">
    <w:name w:val="Grid Table 4 - Accent 2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Grid Table 4 - Accent 3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5">
    <w:name w:val="Grid Table 4 - Accent 4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Grid Table 4 - Accent 5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7">
    <w:name w:val="Grid Table 4 - Accent 6"/>
    <w:basedOn w:val="96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8">
    <w:name w:val="Grid Table 5 Dark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2">
    <w:name w:val="Grid Table 5 Dark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3">
    <w:name w:val="Grid Table 5 Dark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54">
    <w:name w:val="Grid Table 5 Dark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55">
    <w:name w:val="Grid Table 6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6">
    <w:name w:val="Grid Table 6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7">
    <w:name w:val="Grid Table 6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8">
    <w:name w:val="Grid Table 6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9">
    <w:name w:val="Grid Table 6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0">
    <w:name w:val="Grid Table 6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1">
    <w:name w:val="Grid Table 6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2">
    <w:name w:val="Grid Table 7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Grid Table 7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Grid Table 7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Grid Table 7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1 Light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List Table 1 Light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List Table 1 Light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List Table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7">
    <w:name w:val="List Table 2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8">
    <w:name w:val="List Table 2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9">
    <w:name w:val="List Table 2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0">
    <w:name w:val="List Table 2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1">
    <w:name w:val="List Table 2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82">
    <w:name w:val="List Table 2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3">
    <w:name w:val="List Table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3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3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3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4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4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4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5 Dark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5 Dark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2">
    <w:name w:val="List Table 5 Dark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3">
    <w:name w:val="List Table 5 Dark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4">
    <w:name w:val="List Table 6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5">
    <w:name w:val="List Table 6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6">
    <w:name w:val="List Table 6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7">
    <w:name w:val="List Table 6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8">
    <w:name w:val="List Table 6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9">
    <w:name w:val="List Table 6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0">
    <w:name w:val="List Table 6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1">
    <w:name w:val="List Table 7 Colorful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12">
    <w:name w:val="List Table 7 Colorful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13">
    <w:name w:val="List Table 7 Colorful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14">
    <w:name w:val="List Table 7 Colorful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15">
    <w:name w:val="List Table 7 Colorful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16">
    <w:name w:val="List Table 7 Colorful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17">
    <w:name w:val="List Table 7 Colorful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8">
    <w:name w:val="Lined - Accent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9">
    <w:name w:val="Lined - Accent 1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0">
    <w:name w:val="Lined - Accent 2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1">
    <w:name w:val="Lined - Accent 3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2">
    <w:name w:val="Lined - Accent 4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3">
    <w:name w:val="Lined - Accent 5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24">
    <w:name w:val="Lined - Accent 6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5">
    <w:name w:val="Bordered &amp; Lined - Accent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6">
    <w:name w:val="Bordered &amp; Lined - Accent 1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27">
    <w:name w:val="Bordered &amp; Lined - Accent 2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8">
    <w:name w:val="Bordered &amp; Lined - Accent 3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9">
    <w:name w:val="Bordered &amp; Lined - Accent 4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0">
    <w:name w:val="Bordered &amp; Lined - Accent 5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1">
    <w:name w:val="Bordered &amp; Lined - Accent 6"/>
    <w:basedOn w:val="96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2">
    <w:name w:val="Bordered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3">
    <w:name w:val="Bordered - Accent 1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4">
    <w:name w:val="Bordered - Accent 2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5">
    <w:name w:val="Bordered - Accent 3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6">
    <w:name w:val="Bordered - Accent 4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7">
    <w:name w:val="Bordered - Accent 5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8">
    <w:name w:val="Bordered - Accent 6"/>
    <w:basedOn w:val="96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9">
    <w:name w:val="Footnote Text Char"/>
    <w:link w:val="980"/>
    <w:uiPriority w:val="99"/>
    <w:rPr>
      <w:sz w:val="18"/>
    </w:rPr>
  </w:style>
  <w:style w:type="character" w:styleId="940">
    <w:name w:val="Endnote Text Char"/>
    <w:link w:val="977"/>
    <w:uiPriority w:val="99"/>
    <w:rPr>
      <w:sz w:val="20"/>
    </w:rPr>
  </w:style>
  <w:style w:type="paragraph" w:styleId="941">
    <w:name w:val="toc 1"/>
    <w:basedOn w:val="952"/>
    <w:next w:val="952"/>
    <w:uiPriority w:val="39"/>
    <w:unhideWhenUsed/>
    <w:pPr>
      <w:ind w:left="0" w:right="0" w:firstLine="0"/>
      <w:spacing w:after="57"/>
    </w:pPr>
  </w:style>
  <w:style w:type="paragraph" w:styleId="942">
    <w:name w:val="toc 2"/>
    <w:basedOn w:val="952"/>
    <w:next w:val="952"/>
    <w:uiPriority w:val="39"/>
    <w:unhideWhenUsed/>
    <w:pPr>
      <w:ind w:left="283" w:right="0" w:firstLine="0"/>
      <w:spacing w:after="57"/>
    </w:pPr>
  </w:style>
  <w:style w:type="paragraph" w:styleId="943">
    <w:name w:val="toc 3"/>
    <w:basedOn w:val="952"/>
    <w:next w:val="952"/>
    <w:uiPriority w:val="39"/>
    <w:unhideWhenUsed/>
    <w:pPr>
      <w:ind w:left="567" w:right="0" w:firstLine="0"/>
      <w:spacing w:after="57"/>
    </w:pPr>
  </w:style>
  <w:style w:type="paragraph" w:styleId="944">
    <w:name w:val="toc 4"/>
    <w:basedOn w:val="952"/>
    <w:next w:val="952"/>
    <w:uiPriority w:val="39"/>
    <w:unhideWhenUsed/>
    <w:pPr>
      <w:ind w:left="850" w:right="0" w:firstLine="0"/>
      <w:spacing w:after="57"/>
    </w:pPr>
  </w:style>
  <w:style w:type="paragraph" w:styleId="945">
    <w:name w:val="toc 5"/>
    <w:basedOn w:val="952"/>
    <w:next w:val="952"/>
    <w:uiPriority w:val="39"/>
    <w:unhideWhenUsed/>
    <w:pPr>
      <w:ind w:left="1134" w:right="0" w:firstLine="0"/>
      <w:spacing w:after="57"/>
    </w:pPr>
  </w:style>
  <w:style w:type="paragraph" w:styleId="946">
    <w:name w:val="toc 6"/>
    <w:basedOn w:val="952"/>
    <w:next w:val="952"/>
    <w:uiPriority w:val="39"/>
    <w:unhideWhenUsed/>
    <w:pPr>
      <w:ind w:left="1417" w:right="0" w:firstLine="0"/>
      <w:spacing w:after="57"/>
    </w:pPr>
  </w:style>
  <w:style w:type="paragraph" w:styleId="947">
    <w:name w:val="toc 7"/>
    <w:basedOn w:val="952"/>
    <w:next w:val="952"/>
    <w:uiPriority w:val="39"/>
    <w:unhideWhenUsed/>
    <w:pPr>
      <w:ind w:left="1701" w:right="0" w:firstLine="0"/>
      <w:spacing w:after="57"/>
    </w:pPr>
  </w:style>
  <w:style w:type="paragraph" w:styleId="948">
    <w:name w:val="toc 8"/>
    <w:basedOn w:val="952"/>
    <w:next w:val="952"/>
    <w:uiPriority w:val="39"/>
    <w:unhideWhenUsed/>
    <w:pPr>
      <w:ind w:left="1984" w:right="0" w:firstLine="0"/>
      <w:spacing w:after="57"/>
    </w:pPr>
  </w:style>
  <w:style w:type="paragraph" w:styleId="949">
    <w:name w:val="toc 9"/>
    <w:basedOn w:val="952"/>
    <w:next w:val="952"/>
    <w:uiPriority w:val="39"/>
    <w:unhideWhenUsed/>
    <w:pPr>
      <w:ind w:left="2268" w:right="0" w:firstLine="0"/>
      <w:spacing w:after="57"/>
    </w:pPr>
  </w:style>
  <w:style w:type="paragraph" w:styleId="950">
    <w:name w:val="TOC Heading"/>
    <w:uiPriority w:val="39"/>
    <w:unhideWhenUsed/>
  </w:style>
  <w:style w:type="paragraph" w:styleId="951">
    <w:name w:val="table of figures"/>
    <w:basedOn w:val="952"/>
    <w:next w:val="952"/>
    <w:uiPriority w:val="99"/>
    <w:unhideWhenUsed/>
    <w:pPr>
      <w:spacing w:after="0" w:afterAutospacing="0"/>
    </w:pPr>
  </w:style>
  <w:style w:type="paragraph" w:styleId="952" w:default="1">
    <w:name w:val="Normal"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53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2e74b5" w:themeColor="accent1" w:themeShade="BF"/>
      <w:sz w:val="28"/>
      <w:szCs w:val="28"/>
    </w:rPr>
  </w:style>
  <w:style w:type="paragraph" w:styleId="954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955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956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paragraph" w:styleId="957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58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1f4d78" w:themeColor="accent1" w:themeShade="7F"/>
    </w:rPr>
  </w:style>
  <w:style w:type="character" w:styleId="959" w:default="1">
    <w:name w:val="Default Paragraph Font"/>
    <w:uiPriority w:val="1"/>
    <w:semiHidden/>
    <w:unhideWhenUsed/>
  </w:style>
  <w:style w:type="table" w:styleId="96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1" w:default="1">
    <w:name w:val="No List"/>
    <w:uiPriority w:val="99"/>
    <w:semiHidden/>
    <w:unhideWhenUsed/>
  </w:style>
  <w:style w:type="character" w:styleId="962">
    <w:name w:val="annotation reference"/>
    <w:uiPriority w:val="99"/>
    <w:rPr>
      <w:sz w:val="16"/>
      <w:szCs w:val="16"/>
    </w:rPr>
  </w:style>
  <w:style w:type="paragraph" w:styleId="963">
    <w:name w:val="annotation text"/>
    <w:basedOn w:val="952"/>
    <w:link w:val="964"/>
    <w:uiPriority w:val="99"/>
    <w:unhideWhenUsed/>
    <w:rPr>
      <w:szCs w:val="20"/>
    </w:rPr>
  </w:style>
  <w:style w:type="character" w:styleId="964" w:customStyle="1">
    <w:name w:val="Текст примечания Знак"/>
    <w:basedOn w:val="959"/>
    <w:link w:val="963"/>
    <w:uiPriority w:val="99"/>
    <w:rPr>
      <w:rFonts w:ascii="Times New Roman" w:hAnsi="Times New Roman" w:eastAsia="Times New Roman" w:cs="Times New Roman"/>
      <w:sz w:val="20"/>
      <w:szCs w:val="20"/>
    </w:rPr>
  </w:style>
  <w:style w:type="paragraph" w:styleId="965">
    <w:name w:val="Balloon Text"/>
    <w:basedOn w:val="952"/>
    <w:link w:val="96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966" w:customStyle="1">
    <w:name w:val="Текст выноски Знак"/>
    <w:basedOn w:val="959"/>
    <w:link w:val="965"/>
    <w:uiPriority w:val="99"/>
    <w:semiHidden/>
    <w:rPr>
      <w:rFonts w:ascii="Segoe UI" w:hAnsi="Segoe UI" w:eastAsia="Times New Roman" w:cs="Segoe UI"/>
      <w:sz w:val="18"/>
      <w:szCs w:val="18"/>
    </w:rPr>
  </w:style>
  <w:style w:type="paragraph" w:styleId="967">
    <w:name w:val="annotation subject"/>
    <w:basedOn w:val="963"/>
    <w:next w:val="963"/>
    <w:link w:val="968"/>
    <w:uiPriority w:val="99"/>
    <w:semiHidden/>
    <w:unhideWhenUsed/>
    <w:rPr>
      <w:b/>
      <w:bCs/>
    </w:rPr>
  </w:style>
  <w:style w:type="character" w:styleId="968" w:customStyle="1">
    <w:name w:val="Тема примечания Знак"/>
    <w:basedOn w:val="964"/>
    <w:link w:val="967"/>
    <w:uiPriority w:val="99"/>
    <w:semiHidden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969" w:customStyle="1">
    <w:name w:val="! ТЗ Стиль __ТекстОсн_1и + Times New Roman 12 пт По ширине Первая стр..."/>
    <w:basedOn w:val="952"/>
    <w:qFormat/>
    <w:pPr>
      <w:ind w:firstLine="709"/>
      <w:jc w:val="both"/>
      <w:spacing w:before="60" w:after="60" w:line="360" w:lineRule="auto"/>
      <w:tabs>
        <w:tab w:val="left" w:pos="851" w:leader="none"/>
      </w:tabs>
    </w:pPr>
    <w:rPr>
      <w:sz w:val="24"/>
      <w:szCs w:val="20"/>
      <w:lang w:eastAsia="ru-RU"/>
    </w:rPr>
  </w:style>
  <w:style w:type="table" w:styleId="970" w:customStyle="1">
    <w:name w:val="Сетка таблицы3"/>
    <w:basedOn w:val="960"/>
    <w:next w:val="971"/>
    <w:uiPriority w:val="39"/>
    <w:pPr>
      <w:spacing w:after="0" w:line="240" w:lineRule="auto"/>
    </w:pPr>
    <w:rPr>
      <w:rFonts w:ascii="Calibri" w:hAnsi="Calibri" w:eastAsia="Calibri" w:cs="Arial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1">
    <w:name w:val="Table Grid"/>
    <w:basedOn w:val="960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2">
    <w:name w:val="List Paragraph"/>
    <w:basedOn w:val="952"/>
    <w:link w:val="988"/>
    <w:uiPriority w:val="34"/>
    <w:qFormat/>
    <w:pPr>
      <w:contextualSpacing/>
      <w:ind w:left="720"/>
    </w:pPr>
  </w:style>
  <w:style w:type="paragraph" w:styleId="973">
    <w:name w:val="Header"/>
    <w:basedOn w:val="952"/>
    <w:link w:val="97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4" w:customStyle="1">
    <w:name w:val="Верхний колонтитул Знак"/>
    <w:basedOn w:val="959"/>
    <w:link w:val="973"/>
    <w:uiPriority w:val="99"/>
    <w:rPr>
      <w:rFonts w:ascii="Times New Roman" w:hAnsi="Times New Roman" w:eastAsia="Times New Roman" w:cs="Times New Roman"/>
      <w:sz w:val="20"/>
    </w:rPr>
  </w:style>
  <w:style w:type="paragraph" w:styleId="975">
    <w:name w:val="Footer"/>
    <w:basedOn w:val="952"/>
    <w:link w:val="97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6" w:customStyle="1">
    <w:name w:val="Нижний колонтитул Знак"/>
    <w:basedOn w:val="959"/>
    <w:link w:val="975"/>
    <w:uiPriority w:val="99"/>
    <w:rPr>
      <w:rFonts w:ascii="Times New Roman" w:hAnsi="Times New Roman" w:eastAsia="Times New Roman" w:cs="Times New Roman"/>
      <w:sz w:val="20"/>
    </w:rPr>
  </w:style>
  <w:style w:type="paragraph" w:styleId="977">
    <w:name w:val="endnote text"/>
    <w:basedOn w:val="952"/>
    <w:link w:val="978"/>
    <w:uiPriority w:val="99"/>
    <w:semiHidden/>
    <w:unhideWhenUsed/>
    <w:rPr>
      <w:szCs w:val="20"/>
    </w:rPr>
  </w:style>
  <w:style w:type="character" w:styleId="978" w:customStyle="1">
    <w:name w:val="Текст концевой сноски Знак"/>
    <w:basedOn w:val="959"/>
    <w:link w:val="977"/>
    <w:uiPriority w:val="99"/>
    <w:semiHidden/>
    <w:rPr>
      <w:rFonts w:ascii="Times New Roman" w:hAnsi="Times New Roman" w:eastAsia="Times New Roman" w:cs="Times New Roman"/>
      <w:sz w:val="20"/>
      <w:szCs w:val="20"/>
    </w:rPr>
  </w:style>
  <w:style w:type="character" w:styleId="979">
    <w:name w:val="endnote reference"/>
    <w:basedOn w:val="959"/>
    <w:uiPriority w:val="99"/>
    <w:semiHidden/>
    <w:unhideWhenUsed/>
    <w:rPr>
      <w:vertAlign w:val="superscript"/>
    </w:rPr>
  </w:style>
  <w:style w:type="paragraph" w:styleId="980">
    <w:name w:val="footnote text"/>
    <w:basedOn w:val="952"/>
    <w:link w:val="981"/>
    <w:uiPriority w:val="99"/>
    <w:unhideWhenUsed/>
    <w:rPr>
      <w:szCs w:val="20"/>
    </w:rPr>
  </w:style>
  <w:style w:type="character" w:styleId="981" w:customStyle="1">
    <w:name w:val="Текст сноски Знак"/>
    <w:basedOn w:val="959"/>
    <w:link w:val="980"/>
    <w:uiPriority w:val="99"/>
    <w:rPr>
      <w:rFonts w:ascii="Times New Roman" w:hAnsi="Times New Roman" w:eastAsia="Times New Roman" w:cs="Times New Roman"/>
      <w:sz w:val="20"/>
      <w:szCs w:val="20"/>
    </w:rPr>
  </w:style>
  <w:style w:type="character" w:styleId="982">
    <w:name w:val="footnote reference"/>
    <w:basedOn w:val="959"/>
    <w:uiPriority w:val="99"/>
    <w:semiHidden/>
    <w:unhideWhenUsed/>
    <w:rPr>
      <w:vertAlign w:val="superscript"/>
    </w:rPr>
  </w:style>
  <w:style w:type="paragraph" w:styleId="983">
    <w:name w:val="No Spacing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0"/>
    </w:rPr>
  </w:style>
  <w:style w:type="paragraph" w:styleId="984">
    <w:name w:val="Body Text"/>
    <w:basedOn w:val="952"/>
    <w:link w:val="985"/>
    <w:uiPriority w:val="1"/>
    <w:qFormat/>
    <w:pPr>
      <w:widowControl w:val="off"/>
    </w:pPr>
    <w:rPr>
      <w:sz w:val="24"/>
      <w:szCs w:val="24"/>
    </w:rPr>
  </w:style>
  <w:style w:type="character" w:styleId="985" w:customStyle="1">
    <w:name w:val="Основной текст Знак"/>
    <w:basedOn w:val="959"/>
    <w:link w:val="984"/>
    <w:uiPriority w:val="1"/>
    <w:rPr>
      <w:rFonts w:ascii="Times New Roman" w:hAnsi="Times New Roman" w:eastAsia="Times New Roman" w:cs="Times New Roman"/>
      <w:sz w:val="24"/>
      <w:szCs w:val="24"/>
    </w:rPr>
  </w:style>
  <w:style w:type="character" w:styleId="986">
    <w:name w:val="HTML Code"/>
    <w:basedOn w:val="959"/>
    <w:uiPriority w:val="99"/>
    <w:semiHidden/>
    <w:unhideWhenUsed/>
    <w:rPr>
      <w:rFonts w:ascii="Courier New" w:hAnsi="Courier New" w:eastAsia="Times New Roman" w:cs="Courier New"/>
      <w:sz w:val="20"/>
      <w:szCs w:val="20"/>
    </w:rPr>
  </w:style>
  <w:style w:type="character" w:styleId="987">
    <w:name w:val="Hyperlink"/>
    <w:uiPriority w:val="99"/>
    <w:unhideWhenUsed/>
    <w:rPr>
      <w:color w:val="0563c1" w:themeColor="hyperlink"/>
      <w:u w:val="single"/>
    </w:rPr>
  </w:style>
  <w:style w:type="character" w:styleId="988" w:customStyle="1">
    <w:name w:val="Абзац списка Знак"/>
    <w:link w:val="972"/>
    <w:uiPriority w:val="34"/>
    <w:qFormat/>
    <w:rPr>
      <w:rFonts w:ascii="Times New Roman" w:hAnsi="Times New Roman" w:eastAsia="Times New Roman" w:cs="Times New Roman"/>
      <w:sz w:val="20"/>
    </w:rPr>
  </w:style>
  <w:style w:type="paragraph" w:styleId="989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990" w:customStyle="1">
    <w:name w:val="Стандартный HTM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91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cs="Times New Roman" w:eastAsiaTheme="minorHAns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92" w:customStyle="1">
    <w:name w:val="ConsPlusNonformat"/>
    <w:uiPriority w:val="99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Calibri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93" w:customStyle="1">
    <w:name w:val="Нормальный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Relationship Id="rId14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7120E8-C8F5-4264-A6F2-3F2892705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rtlabs.ru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torg</cp:lastModifiedBy>
  <cp:revision>26</cp:revision>
  <dcterms:created xsi:type="dcterms:W3CDTF">2025-08-21T04:28:00Z</dcterms:created>
  <dcterms:modified xsi:type="dcterms:W3CDTF">2026-04-13T06:06:43Z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