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74" w:rsidRPr="00BF3674" w:rsidRDefault="00BF3674" w:rsidP="00BF367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67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Вниманию работодателей!</w:t>
      </w:r>
    </w:p>
    <w:p w:rsidR="00BF3674" w:rsidRPr="00BF3674" w:rsidRDefault="00BF3674" w:rsidP="00BF367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67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Профилактика производственного травматизма</w:t>
      </w:r>
    </w:p>
    <w:p w:rsidR="00BF3674" w:rsidRPr="00BF3674" w:rsidRDefault="00BF3674" w:rsidP="00BF36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67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F3674" w:rsidRPr="00BF3674" w:rsidRDefault="00BF3674" w:rsidP="00BF367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67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78013D0" wp14:editId="4976B77D">
            <wp:extent cx="5419725" cy="2581275"/>
            <wp:effectExtent l="0" t="0" r="9525" b="9525"/>
            <wp:docPr id="1" name="Рисунок 1" descr="http://hmrn.ru/upload/images/index-im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mrn.ru/upload/images/index-img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6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основным видам происшествий, приведших к несчастному случаю на производстве, следует относить: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дорожно-транспортное происшествие (ДТП);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падение с высоты;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падение, обрушения, обвалы предметов, материалов, земли;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воздействие движущихся, разлетающихся, вращающихся пред</w:t>
      </w: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метов и деталей;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поражение электрическим током;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воздействие экстремальных температур;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воздействие вредных веществ;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воздействие ионизирующих излучений;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перегрузки;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повреждения в результате контакта с животными, насекомыми и пресмыкающимися;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утопление;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убийство;</w:t>
      </w:r>
    </w:p>
    <w:p w:rsidR="00BF3674" w:rsidRPr="00BF3674" w:rsidRDefault="00BF3674" w:rsidP="008D1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повреждение при стихийных бедствиях и пр.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причинами производственного травматизма можно назвать следующие: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конструктивные недостатки, несовершенство, недостаточная надежность машин, механизмов, оборудования;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эксплуатация неисправных машин, механизмов, оборудования;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несовершенство технологического процесса;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технологического процесса;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требований безопасности при эксплуатации транс</w:t>
      </w: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портных средств;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правил дорожного движения;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неудовлетворительная организация производства работ;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неудовлетворительное содержание и недостатки в организации рабочих мест;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неудовлетворительное техническое состояние зданий, сооружений, территорий;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недостатки в обучении безопасным приемам труда;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неприменение средств индивидуальной защиты;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неприменение средств коллективной защиты;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трудовой и производственной дисциплины;</w:t>
      </w:r>
    </w:p>
    <w:p w:rsidR="00BF3674" w:rsidRPr="00BF3674" w:rsidRDefault="00BF3674" w:rsidP="008D17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рабочего не по специальности и пр.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 перечисленные выше причины производственного травматизма можно разделить на три типа: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Технические;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Организационные;</w:t>
      </w:r>
    </w:p>
    <w:p w:rsid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Личностные (психофизиологические).</w:t>
      </w:r>
    </w:p>
    <w:p w:rsidR="00FD5B09" w:rsidRPr="00BF3674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674" w:rsidRPr="00BF3674" w:rsidRDefault="00BF3674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Технические причины производственного травматизма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причины производственного травматизма можно охарактеризовать как причины, зависящие от «несовершенства» технологических процессов, конструктивных недостатков и технического состояния оборудования, зданий и сооружений, инструмента и средств коллективной и индивидуальной защиты, недостаточной механизации тяжелых работ, в том числе несовершенство ограждений, предохранительных устройств, средств сигнализации и блокировок, наличие прочностных дефектов материалов и износа конструкций; неизвестные ранее опасные свойства используемых веществ и пр. Эти причины еще называют конструкторскими или инженерными.</w:t>
      </w:r>
    </w:p>
    <w:p w:rsidR="00BF3674" w:rsidRPr="00BF3674" w:rsidRDefault="00BF3674" w:rsidP="00AF7834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ним тесно примыкают, образуя своеобразную подгруппу, нарушения санитарно-гигиенических норм, к которым можно отнести повышенное (выше ПДК) содержание в воздухе рабочих зон вредных веществ, недостаточное или нерациональное освещение, повышенные уровни шума, вибраций, неблагоприятные метеорологические условия; наличие различных излучений выше допустимых значений и пр.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Организационные причины производственного травматизма</w:t>
      </w:r>
    </w:p>
    <w:p w:rsid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Организационные причины производственного травматизма целиком зависят от уровня организации труда на рабочем месте и на предприятии в целом. К ним относятся: недостатки в содержании территории, проездов, проходов; нарушение правил эксплуатации оборудования, транспортных средств, инструмента; недостатки в организации рабочих мест; нарушение технологического регламента; нарушение правил и норм транспортировки, складирования и хранения материалов и изделий; нарушение норм и правил планово-предупредительного ремонта оборудования, транспортных средств и инструмента; недостатки в обучении рабочих безопасным методам труда; недостатки в организации групповых работ; слабый технический надзор за опасными работами; использование машин, механизмов и инструмента не по назначению; отсутствие или несовершенство ограждений мест работы; отсутствие, неисправность или неприменение средств индивидуальной защиты и пр.</w:t>
      </w:r>
    </w:p>
    <w:p w:rsidR="00FD5B09" w:rsidRPr="00BF3674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674" w:rsidRDefault="00BF3674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Личностные (психофизиологические) причины производственного травматизма</w:t>
      </w:r>
    </w:p>
    <w:p w:rsidR="00FD5B09" w:rsidRPr="00BF3674" w:rsidRDefault="00FD5B09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личностным (психофизиологическим) причинам производственного травматизма условно можно отнести физические и нервно-психические перегрузки работника, </w:t>
      </w: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приводящие к его ошибочным действиям. Человек может совершать ошибочные действия из-за утомления, вызванного большими физическими (статическими и динамическими) перегрузками, умственным перенапряжением, перенапряжением анализаторов (зрительного, слухового, тактильного), монотонностью труда, стрессовыми ситуациями, болезненным состоянием.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травме может привести несоответствие анатомо-физиологических и психических особенностей организма человека характеру выполняемой работы. Заметим, что во многих технических системах, в конструкциях машин, приборов и систем управления еще недостаточно учитываются физиологические, психофизиологические, психологические и антропометрические особенности и возможности человека.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 все несчастные случаи вызываются множественными причинами и случайным совпадением событий, но в первую очередь допущенными нарушениями требований охраны труда.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сложном и опасном для человека производстве сочетание безопасных по отдельности факторов вместе может в определенных условиях привести к возникновению опасности, а связующим звеном такого сочетания являются, как правило, работники, поведение которых меняется в зависимости от ситуации и условий труда.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 различать факторы:</w:t>
      </w:r>
    </w:p>
    <w:p w:rsidR="00BF3674" w:rsidRPr="00BF3674" w:rsidRDefault="00BF3674" w:rsidP="008D17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 с так называемым «человеческим фактором» (действиями непосредственного исполнителя);</w:t>
      </w:r>
    </w:p>
    <w:p w:rsidR="00BF3674" w:rsidRPr="00BF3674" w:rsidRDefault="00BF3674" w:rsidP="008D17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организацией работ (действиями совокупного исполнителя – работников работодателя);</w:t>
      </w:r>
    </w:p>
    <w:p w:rsidR="00BF3674" w:rsidRPr="00BF3674" w:rsidRDefault="00BF3674" w:rsidP="008D172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техническими проблемами (неустойчивым технологическим процессом, экстремальными изменениями рабочей среды, отказами и дефектами оборудования).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 любом случае основным виновником происшествия оказывается человек, поскольку именно он чего-то не сделал или сделал не то или не так. Строго говоря, чисто технических причин несчастного случая просто не существует, ибо они лишь промежуточные этапы между неправильными действиями и их последствиями. Вместе с тем, формальное разделение причин на технические, организационные и личностные позволяет выявить причины происшедшего несчастного случая и принять необходимые меры по исправлению ситуации.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показывает, что в последние годы все чаще на первый план выходят проблемы психологического и физиологического напряжения работника, оттесняя совершенствование традиционных условий труда, связанных с физическими факторами окружающей среды (температура, влажность, свет, шум, вибрация и загрязненная атмосфера). Это вызвано относительным снижением физических нагрузок одновременно с ростом психологических и физиологических нагрузок на человека, результатом чего может является хроническая усталость, умственное перенапряжение, обострение отношений с другими работниками и с руководителями. При этом физиологическое и психологическое утомление сопровождается ухудшением качества работы, болезнями, потерей концентрации внимания и координации движений, утратой осторожности и </w:t>
      </w: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осмотрительности. Все это существенно повышает риск </w:t>
      </w:r>
      <w:proofErr w:type="spellStart"/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травмирования</w:t>
      </w:r>
      <w:proofErr w:type="spellEnd"/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одних и тех же физических условиях рабочего места.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нельзя забывать, что безопасный труд предполагает физическую и психологическую готовность работников работать по правилам и выполнять свои функции в соответствии с требованиями охраны труда, располагая достаточным уровнем профессиональной грамотности и осознанной мотивации.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необходимо различать «технические» ошибки типа случайных промахов или неумышленных действий, которые чаще всего встречаются в неоднократно повторяющихся (привычных, стандартных) производственных ситуациях и случайно возникают (например, из-за потери внимания) при многократно отработанных или автоматических по природе действиях, от «интеллектуальных» ошибок типа неправильных действий, которые чаще всего встречаются в нестандартных (непривычных, неординарных) ситуациях, например, при ремонтных или наладочных работах.</w:t>
      </w:r>
    </w:p>
    <w:p w:rsid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«Интеллектуальные» ошибки связаны, в основном, с недостаточными знаниями работника, когда он неправильно оценивает (с позиции безопасности) производственную ситуацию либо неправильно для данной ситуации применяет известное ему правило </w:t>
      </w:r>
      <w:proofErr w:type="gramStart"/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</w:t>
      </w:r>
      <w:proofErr w:type="gramEnd"/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плохо знает или совсем не знает необходимые для обеспечения реальной безопасности правила. Более того, нередко оказывается, что действующие правила (инструкции) не предусматривали вдруг сложившуюся опасную ситуацию.</w:t>
      </w:r>
    </w:p>
    <w:p w:rsidR="00FD5B09" w:rsidRPr="00BF3674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674" w:rsidRDefault="00BF3674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Формула безопасного труда</w:t>
      </w:r>
    </w:p>
    <w:p w:rsidR="00FD5B09" w:rsidRPr="00BF3674" w:rsidRDefault="00FD5B09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формулу, чтобы оценить условия безопасного труда конкретного работника.</w:t>
      </w:r>
    </w:p>
    <w:p w:rsid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784EF7A" wp14:editId="274256E1">
            <wp:extent cx="5572125" cy="2824378"/>
            <wp:effectExtent l="0" t="0" r="0" b="0"/>
            <wp:docPr id="2" name="Рисунок 2" descr="http://hmrn.ru/upload/images/index-img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mrn.ru/upload/images/index-img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96" cy="28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D5B09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B09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B09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B09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B09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B09" w:rsidRPr="00BF3674" w:rsidRDefault="00FD5B09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Мероприятия по снижению риска несчастных случаев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277"/>
        <w:gridCol w:w="5663"/>
      </w:tblGrid>
      <w:tr w:rsidR="00BF3674" w:rsidRPr="00BF3674" w:rsidTr="00BF36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  <w:lang w:eastAsia="ru-RU"/>
              </w:rPr>
              <w:t> №</w:t>
            </w:r>
            <w:r w:rsidRPr="00BF3674"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  <w:lang w:eastAsia="ru-RU"/>
              </w:rPr>
              <w:t>  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  <w:lang w:eastAsia="ru-RU"/>
              </w:rPr>
              <w:t>Способ снизить риск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Разработайте систему управления охраной труда, внедрите ее на предприятии и проводите постоянный анализ ее функционирования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профессиональные риски на предприятии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сокращению производственного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Разработайте и исполняйте план мероприятий по сокращению производственного травматизма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 подбор и обучение работников с учетом сокращения рисков несчастных случаев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проводите медицинские осмотры и психиатрические освидетельствования работников в случаях, предусмотренных законодательством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 разъяснительную работу по охране труда с каждым работником организации, в каждом подразделении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  индивидуальной</w:t>
            </w:r>
            <w:proofErr w:type="gramEnd"/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Приобретайте только высококачественные и эффективные СИЗ, для этого участвуйте в тематических выставках, общайтесь с производителями, посещайте производство СИЗ, отслеживайте репутацию производителя через рекламации, тщательно следите за сроками действия сертификатов и информацией об отзыве поставщиков СИЗ в </w:t>
            </w:r>
            <w:proofErr w:type="spellStart"/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госреестре</w:t>
            </w:r>
            <w:proofErr w:type="spellEnd"/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Проверяйте исправность технологического оборудования, контролируйте технологический процесс, проводите планово-предупредительный ремонт по графику, своевременно модернизируйте оборудование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помещения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выбора нового производственного помещения или оборудования учитывайте риски по охране труда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проводите </w:t>
            </w:r>
            <w:proofErr w:type="spellStart"/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спецоценку</w:t>
            </w:r>
            <w:proofErr w:type="spellEnd"/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и льготы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Предоставляйте работникам гарантии и льготы, предусмотренные законодательством и внутренними правилами</w:t>
            </w:r>
          </w:p>
        </w:tc>
      </w:tr>
      <w:tr w:rsidR="00BF3674" w:rsidRPr="00BF3674" w:rsidTr="00BF3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674" w:rsidRPr="00BF3674" w:rsidRDefault="00BF3674" w:rsidP="008D172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режимы труда и отдыха, так как переутомление работников – частая причина несчастных случаев</w:t>
            </w:r>
          </w:p>
        </w:tc>
      </w:tr>
    </w:tbl>
    <w:p w:rsidR="00BF3674" w:rsidRPr="00BF3674" w:rsidRDefault="00BF3674" w:rsidP="008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Снижение риска: подбор и обучение сотрудников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квалифицированными работниками несчастные случаи происходят реже, чем с работниками без подготовки. Поэтому прием на работу опытных специалистов поможет снизить риск несчастных случаев.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Принимайте участие в составлении заявок на подбор персонала, чтобы вносить свои предложения к личным качествам работников. Ленивые, невнимательные, самоуверенные и безответственные сотрудники скорее станут жертвами несчастных случаев.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Проводите полноценное обучение всех работников по охране труда, в том числе квалифицированных. На этом этапе у работников закладывается отношение к охране труда. Применяйте современные методы обучения: интерактивные программы, дистанционное обучение, ролевые игры и т. п. Чтобы обучение не было формальным, обеспечьте активное участие каждого работника в этом процессе. После обучения получите обратную связь от работников. Например, путем анкетирования, опросов и др.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1E3D7C9" wp14:editId="01FCBD25">
            <wp:extent cx="5829300" cy="2371725"/>
            <wp:effectExtent l="0" t="0" r="0" b="9525"/>
            <wp:docPr id="3" name="Рисунок 3" descr="http://hmrn.ru/upload/images/index-img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mrn.ru/upload/images/index-img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охране труда снизит вероятность несчастного случая, так как акцентирует внимание работника на особенностях производства, которые несут реальную угрозу его жизни и здоровью.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</w:t>
      </w:r>
    </w:p>
    <w:p w:rsidR="00BF3674" w:rsidRPr="00BF3674" w:rsidRDefault="00BF3674" w:rsidP="00FD5B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специалиста по охране труда по предотвращению</w:t>
      </w: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F3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несчастных случаев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допуском сотрудников к работе выдайте им средства индивидуальной защиты по типовым нормам и межотраслевым правилам. Если работники пренебрегают средствами индивидуальной защиты, выдайте предписание о несоблюдении требований охраны труда.</w:t>
      </w:r>
    </w:p>
    <w:p w:rsidR="00FD5B09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CDA2A42" wp14:editId="3A2AE0D0">
            <wp:extent cx="5915025" cy="1504950"/>
            <wp:effectExtent l="0" t="0" r="9525" b="0"/>
            <wp:docPr id="4" name="Рисунок 4" descr="http://hmrn.ru/upload/images/index-img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mrn.ru/upload/images/index-img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74" w:rsidRPr="00BF3674" w:rsidRDefault="00BF3674" w:rsidP="00FD5B0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контролируйте рабочие места и зоны повышенной опасности.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Проводите обходы производственных участков, чтобы контролировать недочеты правил охраны труда на местах. Используйте фотоаппарат для фиксации нарушений.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Ведите разъяснительную работу с сотрудниками, которые нарушают правила охраны труда. При необходимости составляйте докладные записки на руководителей подразделений, чьи работники нарушают требования охраны труда.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Разместите на предприятии информационные стенды для сбора предложений от работников по улучшению работы по охране труда. Организуйте на производственных площадках уголки или кабинет по охране труда с мотивирующими плакатами, основными приемами безопасной организации труда и т. п.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Дня охраны труда или месячника донесите до работников, что соблюдение правил охраны труда позволит им сохранить здоровье и жизнь, избежать дисциплинарных взысканий, вплоть до увольнения.</w:t>
      </w:r>
    </w:p>
    <w:p w:rsidR="00BF3674" w:rsidRPr="00BF3674" w:rsidRDefault="00BF3674" w:rsidP="008D17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Эффективный способ предотвращения несчастных случаев – это трехступенчатый контроль за охраной труда.</w:t>
      </w:r>
    </w:p>
    <w:p w:rsidR="00D2011E" w:rsidRPr="008D172A" w:rsidRDefault="00D2011E" w:rsidP="008D17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11E" w:rsidRPr="008D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2975"/>
    <w:multiLevelType w:val="multilevel"/>
    <w:tmpl w:val="5DB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B6E8D"/>
    <w:multiLevelType w:val="multilevel"/>
    <w:tmpl w:val="CE6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C05BE"/>
    <w:multiLevelType w:val="multilevel"/>
    <w:tmpl w:val="FBE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4"/>
    <w:rsid w:val="002E17E9"/>
    <w:rsid w:val="005643D1"/>
    <w:rsid w:val="005A41C4"/>
    <w:rsid w:val="008D172A"/>
    <w:rsid w:val="00AF7834"/>
    <w:rsid w:val="00BF3674"/>
    <w:rsid w:val="00C17246"/>
    <w:rsid w:val="00D2011E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1F75-83DD-4CAF-B340-DF9CA1E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1A68-9BF1-4F7C-99E6-F6F9922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Охрана</cp:lastModifiedBy>
  <cp:revision>4</cp:revision>
  <dcterms:created xsi:type="dcterms:W3CDTF">2024-05-23T00:40:00Z</dcterms:created>
  <dcterms:modified xsi:type="dcterms:W3CDTF">2024-05-23T01:36:00Z</dcterms:modified>
</cp:coreProperties>
</file>