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inline distT="0" distB="0" distL="19050" distR="9525">
            <wp:extent cx="10029825" cy="6826250"/>
            <wp:effectExtent l="0" t="0" r="0" b="0"/>
            <wp:docPr id="3" name="Рисунок 1" descr="C:\Users\TORG~1.GFU\AppData\Local\Temp\Rar$DIa0.258\лист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TORG~1.GFU\AppData\Local\Temp\Rar$DIa0.258\лист10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4437380</wp:posOffset>
                </wp:positionH>
                <wp:positionV relativeFrom="paragraph">
                  <wp:posOffset>1551305</wp:posOffset>
                </wp:positionV>
                <wp:extent cx="116205" cy="1244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560" cy="123840"/>
                        </a:xfrm>
                        <a:prstGeom prst="flowChartProcess">
                          <a:avLst/>
                        </a:prstGeom>
                        <a:solidFill>
                          <a:srgbClr val="00ff99"/>
                        </a:solidFill>
                        <a:ln>
                          <a:solidFill>
                            <a:srgbClr val="2d0eb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fillcolor="#00ff99" stroked="t" style="position:absolute;margin-left:349.4pt;margin-top:122.2pt;width:9.05pt;height:9.7pt;rotation:270" type="shapetype_109">
                <w10:wrap type="none"/>
                <v:fill o:detectmouseclick="t" type="solid" color2="#ff0066"/>
                <v:stroke color="#2d0eb2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4471035</wp:posOffset>
                </wp:positionH>
                <wp:positionV relativeFrom="paragraph">
                  <wp:posOffset>1591945</wp:posOffset>
                </wp:positionV>
                <wp:extent cx="45720" cy="527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52200"/>
                        </a:xfrm>
                        <a:prstGeom prst="flowChartConnector">
                          <a:avLst/>
                        </a:prstGeom>
                        <a:solidFill>
                          <a:srgbClr val="2d0eb2"/>
                        </a:solidFill>
                        <a:ln>
                          <a:solidFill>
                            <a:srgbClr val="2d0eb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fillcolor="#2d0eb2" stroked="t" style="position:absolute;margin-left:352.05pt;margin-top:125.35pt;width:3.5pt;height:4.05pt" type="shapetype_120">
                <w10:wrap type="none"/>
                <v:fill o:detectmouseclick="t" type="solid" color2="#d2f14d"/>
                <v:stroke color="#2d0eb2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4394200</wp:posOffset>
                </wp:positionH>
                <wp:positionV relativeFrom="paragraph">
                  <wp:posOffset>1267460</wp:posOffset>
                </wp:positionV>
                <wp:extent cx="320675" cy="2190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2190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ind w:left="-142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76.1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5.25pt;height:17.25pt;mso-wrap-distance-left:9pt;mso-wrap-distance-right:9pt;mso-wrap-distance-top:0pt;mso-wrap-distance-bottom:0pt;margin-top:99.8pt;mso-position-vertical-relative:text;margin-left:346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ind w:left="-142" w:hanging="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16"/>
                          <w:szCs w:val="16"/>
                        </w:rPr>
                        <w:t>76.1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orient="landscape" w:w="16838" w:h="11906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Приложение 2</w:t>
    </w:r>
  </w:p>
  <w:p>
    <w:pPr>
      <w:pStyle w:val="Normal"/>
      <w:spacing w:before="0"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к постановлению администрации Тайшетского района</w:t>
    </w:r>
  </w:p>
  <w:p>
    <w:pPr>
      <w:pStyle w:val="Normal"/>
      <w:spacing w:before="0"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cs="Times New Roman" w:ascii="Times New Roman" w:hAnsi="Times New Roman"/>
        <w:sz w:val="24"/>
        <w:szCs w:val="24"/>
      </w:rPr>
      <w:t>от    "09" сентября 2016г. № 300</w:t>
    </w:r>
  </w:p>
  <w:p>
    <w:pPr>
      <w:pStyle w:val="Normal"/>
      <w:spacing w:before="0"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"Рисунок 9</w:t>
    </w:r>
  </w:p>
  <w:p>
    <w:pPr>
      <w:pStyle w:val="Normal"/>
      <w:spacing w:before="0" w:after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Часть общей графической схемы размещения нестационарных торговых объектов на территории Тайшетского городского поселения №10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4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2c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4752c3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4752c3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2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unhideWhenUsed/>
    <w:rsid w:val="004752c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semiHidden/>
    <w:unhideWhenUsed/>
    <w:rsid w:val="004752c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274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5854-0A7D-4F94-B5BC-9FF4AD52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LibreOffice/5.4.1.2$Windows_x86 LibreOffice_project/ea7cb86e6eeb2bf3a5af73a8f7777ac570321527</Application>
  <Pages>1</Pages>
  <Words>30</Words>
  <Characters>203</Characters>
  <CharactersWithSpaces>397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2016-09-01T02:33:00Z</dcterms:created>
  <dc:creator>Торговый отдел</dc:creator>
  <dc:description/>
  <dc:language>ru-RU</dc:language>
  <cp:lastModifiedBy/>
  <cp:lastPrinted>2016-09-01T02:40:00Z</cp:lastPrinted>
  <dcterms:modified xsi:type="dcterms:W3CDTF">2018-03-21T11:41:35Z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